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C33205">
      <w:pPr>
        <w:keepNext w:val="0"/>
        <w:keepLines w:val="0"/>
        <w:pageBreakBefore w:val="0"/>
        <w:kinsoku/>
        <w:wordWrap/>
        <w:overflowPunct/>
        <w:topLinePunct w:val="0"/>
        <w:bidi w:val="0"/>
        <w:spacing w:line="360" w:lineRule="auto"/>
        <w:jc w:val="center"/>
        <w:textAlignment w:val="auto"/>
        <w:rPr>
          <w:rFonts w:hint="eastAsia" w:ascii="宋体" w:hAnsi="宋体" w:eastAsia="宋体"/>
          <w:b/>
          <w:bCs/>
          <w:sz w:val="28"/>
          <w:szCs w:val="32"/>
        </w:rPr>
      </w:pPr>
      <w:r>
        <w:rPr>
          <w:rFonts w:hint="eastAsia" w:ascii="宋体" w:hAnsi="宋体" w:eastAsia="宋体"/>
          <w:b/>
          <w:bCs/>
          <w:sz w:val="28"/>
          <w:szCs w:val="32"/>
        </w:rPr>
        <w:t>广东省地方标准</w:t>
      </w:r>
    </w:p>
    <w:p w14:paraId="2D490B28">
      <w:pPr>
        <w:keepNext w:val="0"/>
        <w:keepLines w:val="0"/>
        <w:pageBreakBefore w:val="0"/>
        <w:kinsoku/>
        <w:wordWrap/>
        <w:overflowPunct/>
        <w:topLinePunct w:val="0"/>
        <w:bidi w:val="0"/>
        <w:spacing w:line="360" w:lineRule="auto"/>
        <w:jc w:val="center"/>
        <w:textAlignment w:val="auto"/>
        <w:rPr>
          <w:rFonts w:hint="eastAsia" w:ascii="宋体" w:hAnsi="宋体" w:eastAsia="宋体"/>
          <w:b/>
          <w:bCs/>
          <w:sz w:val="28"/>
          <w:szCs w:val="32"/>
        </w:rPr>
      </w:pPr>
      <w:r>
        <w:rPr>
          <w:rFonts w:hint="eastAsia" w:ascii="宋体" w:hAnsi="宋体" w:eastAsia="宋体"/>
          <w:b/>
          <w:bCs/>
          <w:sz w:val="28"/>
          <w:szCs w:val="32"/>
        </w:rPr>
        <w:t>《电镀园区污染治理设施运营管理技术规范》</w:t>
      </w:r>
    </w:p>
    <w:p w14:paraId="3336FAAB">
      <w:pPr>
        <w:keepNext w:val="0"/>
        <w:keepLines w:val="0"/>
        <w:pageBreakBefore w:val="0"/>
        <w:kinsoku/>
        <w:wordWrap/>
        <w:overflowPunct/>
        <w:topLinePunct w:val="0"/>
        <w:bidi w:val="0"/>
        <w:spacing w:line="360" w:lineRule="auto"/>
        <w:jc w:val="center"/>
        <w:textAlignment w:val="auto"/>
        <w:rPr>
          <w:rFonts w:hint="eastAsia" w:ascii="宋体" w:hAnsi="宋体" w:eastAsia="宋体"/>
          <w:b/>
          <w:bCs/>
          <w:sz w:val="28"/>
          <w:szCs w:val="32"/>
        </w:rPr>
      </w:pPr>
      <w:r>
        <w:rPr>
          <w:rFonts w:hint="eastAsia" w:ascii="宋体" w:hAnsi="宋体" w:eastAsia="宋体"/>
          <w:b/>
          <w:bCs/>
          <w:sz w:val="28"/>
          <w:szCs w:val="32"/>
        </w:rPr>
        <w:t>编制说明</w:t>
      </w:r>
    </w:p>
    <w:p w14:paraId="4B0C4783">
      <w:pPr>
        <w:keepNext w:val="0"/>
        <w:keepLines w:val="0"/>
        <w:pageBreakBefore w:val="0"/>
        <w:kinsoku/>
        <w:wordWrap/>
        <w:overflowPunct/>
        <w:topLinePunct w:val="0"/>
        <w:bidi w:val="0"/>
        <w:spacing w:line="360" w:lineRule="auto"/>
        <w:textAlignment w:val="auto"/>
        <w:rPr>
          <w:rFonts w:hint="eastAsia" w:ascii="宋体" w:hAnsi="宋体" w:eastAsia="宋体"/>
          <w:b/>
          <w:bCs/>
          <w:szCs w:val="21"/>
        </w:rPr>
      </w:pPr>
    </w:p>
    <w:p w14:paraId="7EBB0D94">
      <w:pPr>
        <w:keepNext w:val="0"/>
        <w:keepLines w:val="0"/>
        <w:pageBreakBefore w:val="0"/>
        <w:kinsoku/>
        <w:wordWrap/>
        <w:overflowPunct/>
        <w:topLinePunct w:val="0"/>
        <w:bidi w:val="0"/>
        <w:spacing w:line="360" w:lineRule="auto"/>
        <w:textAlignment w:val="auto"/>
        <w:rPr>
          <w:rFonts w:hint="eastAsia" w:ascii="宋体" w:hAnsi="宋体" w:eastAsia="宋体"/>
          <w:b/>
          <w:bCs/>
          <w:szCs w:val="21"/>
        </w:rPr>
      </w:pPr>
      <w:r>
        <w:rPr>
          <w:rFonts w:hint="eastAsia" w:ascii="宋体" w:hAnsi="宋体" w:eastAsia="宋体"/>
          <w:b/>
          <w:bCs/>
          <w:szCs w:val="21"/>
        </w:rPr>
        <w:t>一、项目背景</w:t>
      </w:r>
    </w:p>
    <w:p w14:paraId="1DAA8025">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szCs w:val="21"/>
        </w:rPr>
      </w:pPr>
      <w:r>
        <w:rPr>
          <w:rFonts w:hint="eastAsia" w:ascii="宋体" w:hAnsi="宋体" w:eastAsia="宋体"/>
          <w:szCs w:val="21"/>
        </w:rPr>
        <w:t>生态环境是人类生存和发展的根基，近年来广东坚持走生态优先、绿色发展之路,系统强化生态建设与保护，不断提高重污染行业的生态环境治理能力，推动南粤大地天更蓝、山更绿、水更清、环境更优美。2021年4月，广东省市场监督管理局、广东省工业和信息化厅、广东省生态环境厅发布了《广东省环保产业标准体系规划与路线图(2021—2025年)》，提出了广东省环保产业标准体系规划预立项标准164项标准，在其中B4环境咨询服务业标准中明确要制定《电镀园区污染治理设施运营管理技术规范》，且制修订优先级等级为推荐级别最高。</w:t>
      </w:r>
    </w:p>
    <w:p w14:paraId="5CBED3C1">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szCs w:val="21"/>
        </w:rPr>
      </w:pPr>
      <w:r>
        <w:rPr>
          <w:rFonts w:hint="eastAsia" w:ascii="宋体" w:hAnsi="宋体" w:eastAsia="宋体"/>
          <w:szCs w:val="21"/>
        </w:rPr>
        <w:t>为进一步提升我省电镀园区污染治理设施运营管理的规范化水平，保障电镀园区废水处理设施高效稳定运行，支撑电镀园区绿色高质量发展，同时也为政府做好环境管理工作提供技术支持，在省生态环境厅的领导下，省环保产业协会、广东新大禹会同有关单位启动《电镀园区污染治理设施运营管理技术规范》省地方标准制修订工作。2023年12月，《电镀园区污染治理设施运营管理技术规范》省地方标准项目获批立项，详见《广东省市场监督管理局关于批准下达2023年第二批广东省地方标准制修订计划的通知》（粤市监标准〔2023〕591号，第65项）。</w:t>
      </w:r>
    </w:p>
    <w:p w14:paraId="2DBB2581">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szCs w:val="21"/>
        </w:rPr>
      </w:pPr>
    </w:p>
    <w:p w14:paraId="4BA78ED7">
      <w:pPr>
        <w:keepNext w:val="0"/>
        <w:keepLines w:val="0"/>
        <w:pageBreakBefore w:val="0"/>
        <w:kinsoku/>
        <w:wordWrap/>
        <w:overflowPunct/>
        <w:topLinePunct w:val="0"/>
        <w:bidi w:val="0"/>
        <w:spacing w:line="360" w:lineRule="auto"/>
        <w:textAlignment w:val="auto"/>
        <w:rPr>
          <w:rFonts w:hint="eastAsia" w:ascii="宋体" w:hAnsi="宋体" w:eastAsia="宋体"/>
          <w:b/>
          <w:bCs/>
          <w:szCs w:val="21"/>
        </w:rPr>
      </w:pPr>
      <w:r>
        <w:rPr>
          <w:rFonts w:hint="eastAsia" w:ascii="宋体" w:hAnsi="宋体" w:eastAsia="宋体"/>
          <w:b/>
          <w:bCs/>
          <w:szCs w:val="21"/>
        </w:rPr>
        <w:t>二、规范制定的必要性</w:t>
      </w:r>
    </w:p>
    <w:p w14:paraId="0089DE5E">
      <w:pPr>
        <w:keepNext w:val="0"/>
        <w:keepLines w:val="0"/>
        <w:pageBreakBefore w:val="0"/>
        <w:kinsoku/>
        <w:wordWrap/>
        <w:overflowPunct/>
        <w:topLinePunct w:val="0"/>
        <w:bidi w:val="0"/>
        <w:spacing w:line="360" w:lineRule="auto"/>
        <w:textAlignment w:val="auto"/>
        <w:rPr>
          <w:rFonts w:hint="eastAsia" w:ascii="宋体" w:hAnsi="宋体" w:eastAsia="宋体"/>
          <w:b/>
          <w:bCs/>
          <w:szCs w:val="21"/>
        </w:rPr>
      </w:pPr>
      <w:r>
        <w:rPr>
          <w:rFonts w:hint="eastAsia" w:ascii="宋体" w:hAnsi="宋体" w:eastAsia="宋体"/>
          <w:b/>
          <w:bCs/>
          <w:szCs w:val="21"/>
        </w:rPr>
        <w:t>2.1政策需求</w:t>
      </w:r>
    </w:p>
    <w:p w14:paraId="642A6902">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szCs w:val="21"/>
        </w:rPr>
      </w:pPr>
      <w:r>
        <w:rPr>
          <w:rFonts w:hint="eastAsia" w:ascii="宋体" w:hAnsi="宋体" w:eastAsia="宋体"/>
          <w:szCs w:val="21"/>
        </w:rPr>
        <w:t>我国电镀工业园区发展迅速，已成为地区经济发展的重要支撑力量和现代制造业的重要载体。全国电镀工业园区的分布受经济发展水平、产业集群、环保政策等因素影响，呈现明显的地域不均衡性，主要集中在广东省、浙江省、江苏省、川渝、山东省等地。近年来国家陆续出台各项政策，不断加强对电镀行业的管理，引导电镀行业绿色高质量发展。</w:t>
      </w:r>
    </w:p>
    <w:p w14:paraId="4A0B6364">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szCs w:val="21"/>
        </w:rPr>
      </w:pPr>
      <w:r>
        <w:rPr>
          <w:rFonts w:hint="eastAsia" w:ascii="宋体" w:hAnsi="宋体" w:eastAsia="宋体"/>
          <w:szCs w:val="21"/>
        </w:rPr>
        <w:t>2014年9月国务院发布的《重金属污染综合防治“十二五”规划》列出了需要重点防控的重金属污染物种类。《水污染防治行动计划》（国发〔2015〕17 号）中要求专项整治的十大重点行业中包括电镀行业。2016年12月国务院发布的《“十三五”生态环境保护规划》中提出要制定电镀等行业工业园区综合整治方案。2017年1月国务院发布的《“十三五节能减排综合工作方案》提出对电镀等行业中，环保、能源、安全等不达标或生产、使用淘汰类产品的企业和产能，要依法依规有序退出。2017年7月工业和信息化部、发展改革委、科技部、财政部、环境保护部联合发布的《五部委关于加强长江经济带工业绿色发展的指导意见》中提出要加大对电镀等涉水类园区循环化改造力度，推动沿江城市建成区内现有电镀等污染较重的企业有序搬迁改造或依法关闭。2018年7月国务院发布的《全国国土规划纲要(2016-2030年)》提出要加大土壤重金属污染治理力度，推动电镀等行业技术更新改造，减少污染排放。2019年3月4日，生态环境部联合外交部等 11 部门发布《关于禁止生产、流通、使用和进出口林丹等持久性有机污染物的公告》（公告 2019 年第 10 号），其中规定全氟辛烷磺酰基化合物（PFOS）只能用于闭环系统的金属电镀（硬金属电镀，即镀硬铬）。2020年5月国家发展改革委、工业和信息化部发布的《关于营造更好发展环境支持民营节能环保企业健康发展的实施意见》中提出以电镀等行业企业和园区为重点，支持民营企业开展环境污染第三方治理。2020年7月，广东省工业和信息化厅、广东省科学技术厅 广东省商务厅印发《关于推动工业园区高质量发展的实施方案》提到“强化园区环保能力建设，大力推进环保基础设施建设，引导电镀、印染、鞣革、铸造等产业链配套企业进入专业工业园区，进行集中治理。”2020年12月生态环境部发布《关于进一步规范城镇(园区)污水处理环境管理的通知》中提出新建电镀等企业原则上布局在符合产业定位的园区，其排放的污水由园区污水处理厂集中处理2022年1月国务院发布的《“十四五”节能减排综合工作方案》提出以省级以上工业园区为重点，推动电镀废水及特征污染物集中治理等“绿岛”项目建设。到2025年，建成-批节能环保示范园区。2022年3月生态环境部发布《关于进一步加强重金属污染防控的意见》提出到 2025 年，电镀行业等全国重点行业重点重金属污染物排放量比2020年下降 5%。</w:t>
      </w:r>
    </w:p>
    <w:p w14:paraId="31F0E239">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szCs w:val="21"/>
        </w:rPr>
      </w:pPr>
      <w:r>
        <w:rPr>
          <w:rFonts w:hint="eastAsia" w:ascii="宋体" w:hAnsi="宋体" w:eastAsia="宋体"/>
          <w:szCs w:val="21"/>
        </w:rPr>
        <w:t>为推动广东省环保产业高质量发展，因地制宜完善广东省环保产业标准体系的建设，广东省市场监督管理局广东省工业和信息化厅、广东省生态环境厅制定了《广东省环保产业标准体系规划与路线图(2021-2025年)》，该标准体系与规划路线图全面梳理了国内外环保产业相关现行标准，编制了广东省环保产业标准体系框架，提出了环保产业标准制修订建议和标准化路线图。将解决广东省现行环保产业标准存在的标准结构不平衡、配套管理技术规范缺口大等问题，引导和推进环保产业向标准化、系列化、通用化发展。本标准是《广东省环保产业标准体系规划与路线图(2021-2025年)》中B4环境咨询服务业标准中明确要制定的标准之一。</w:t>
      </w:r>
    </w:p>
    <w:p w14:paraId="012377F5">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szCs w:val="21"/>
        </w:rPr>
      </w:pPr>
      <w:r>
        <w:rPr>
          <w:rFonts w:hint="eastAsia" w:ascii="宋体" w:hAnsi="宋体" w:eastAsia="宋体"/>
          <w:szCs w:val="21"/>
        </w:rPr>
        <w:t>随着我国的重点行业绿色发展水平的提升，以上一系列政策的发布将促进电镀行业不断向规范化、绿色化方向发展。</w:t>
      </w:r>
    </w:p>
    <w:p w14:paraId="79D9BD64">
      <w:pPr>
        <w:keepNext w:val="0"/>
        <w:keepLines w:val="0"/>
        <w:pageBreakBefore w:val="0"/>
        <w:kinsoku/>
        <w:wordWrap/>
        <w:overflowPunct/>
        <w:topLinePunct w:val="0"/>
        <w:bidi w:val="0"/>
        <w:spacing w:line="360" w:lineRule="auto"/>
        <w:textAlignment w:val="auto"/>
        <w:rPr>
          <w:rFonts w:hint="eastAsia" w:ascii="宋体" w:hAnsi="宋体" w:eastAsia="宋体"/>
          <w:b/>
          <w:bCs/>
          <w:szCs w:val="21"/>
        </w:rPr>
      </w:pPr>
      <w:r>
        <w:rPr>
          <w:rFonts w:hint="eastAsia" w:ascii="宋体" w:hAnsi="宋体" w:eastAsia="宋体"/>
          <w:b/>
          <w:bCs/>
          <w:szCs w:val="21"/>
        </w:rPr>
        <w:t>2.2行业需求</w:t>
      </w:r>
    </w:p>
    <w:p w14:paraId="628AC631">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szCs w:val="21"/>
        </w:rPr>
      </w:pPr>
      <w:r>
        <w:rPr>
          <w:rFonts w:hint="eastAsia" w:ascii="宋体" w:hAnsi="宋体" w:eastAsia="宋体"/>
          <w:szCs w:val="21"/>
        </w:rPr>
        <w:t>电镀在钢铁、机械、电子、精密仪器、航空、航天、船舶、军工和日用品等领域具有广泛的应用。电镀具有较强的装饰性与功能性，通用性强、应用面广等特点，电镀在各工业行业中的作用不可替代。电镀过程大量使用铜、镍、铬等各种重金属和含氰化物的镀液，电镀废水中的重金属、氰化物等排放到外部环境，会对生态环境和人类健康产生较大危害。</w:t>
      </w:r>
    </w:p>
    <w:p w14:paraId="00E22B1C">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szCs w:val="21"/>
        </w:rPr>
      </w:pPr>
      <w:r>
        <w:rPr>
          <w:rFonts w:hint="eastAsia" w:ascii="宋体" w:hAnsi="宋体" w:eastAsia="宋体"/>
          <w:szCs w:val="21"/>
        </w:rPr>
        <w:t>针对电镀废水的处理，主要模式为分散式、集散式、集中式。随着国家相继出台一系列政策鼓励“退城入园”、“进区入园”，并对工业园区水污染防治做出的重要指示。工业园区逐渐成为我国工业发展重要形态，2015年颁布的《水污染防治行动计划》中要求确保建成的污水集中处理设施和管网能够正常稳定运行，达标排放。园内工业废水和生活污水应纳尽纳、杜绝偷排、漏排等情况发生。2016年发布的《“十三五”生态环境保护规划》中要求完善工业园区污水集中处理设施。因此，目前集中式为电镀废水主要处理模式。但集中式污水处理模式往往存在以下问题:（1）分类收集不规范、企业偷排现象时有发生，导致集中式废水处理设施的进水水质和浓度超出设计范围，给电镀废水处理稳定达标排放带来风险；（2）污水处理效果不稳定，特别是生化系统的处理效果不稳定，一方面电镀废水的生化性较差，另一方面是废水中的重金属离子长期累积对微生物的毒害抑制作用。因此对电镀废水的物化处理和生化处理的运营管理提出更高的要求。以实现电镀废水的长期稳定达标，是目前电镀园区废水处理企业面临的主要问题。</w:t>
      </w:r>
    </w:p>
    <w:p w14:paraId="7F9C7476">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szCs w:val="21"/>
        </w:rPr>
      </w:pPr>
      <w:r>
        <w:rPr>
          <w:rFonts w:hint="eastAsia" w:ascii="宋体" w:hAnsi="宋体" w:eastAsia="宋体"/>
          <w:szCs w:val="21"/>
        </w:rPr>
        <w:t>根据2023年国家生态环境部发布的《关于进一步加强重金属污染防控意见》，广东、江苏、辽宁、山东、河北等省份要加快推进专业电镀企业入园，力争到2025年底专业电镀企业入园率达75%，推进专业电镀园区、专业电镀企业重金属污染深度治理。</w:t>
      </w:r>
    </w:p>
    <w:p w14:paraId="302CC1EA">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szCs w:val="21"/>
        </w:rPr>
      </w:pPr>
      <w:r>
        <w:rPr>
          <w:rFonts w:hint="eastAsia" w:ascii="宋体" w:hAnsi="宋体" w:eastAsia="宋体"/>
          <w:szCs w:val="21"/>
        </w:rPr>
        <w:t>制订《电镀园区污染治理设施运营管理技术规范》，对于提升电镀园区废水治理设施运营管理水平和确保电镀园区废水长期稳定达标是必要的。</w:t>
      </w:r>
    </w:p>
    <w:p w14:paraId="72068320">
      <w:pPr>
        <w:keepNext w:val="0"/>
        <w:keepLines w:val="0"/>
        <w:pageBreakBefore w:val="0"/>
        <w:kinsoku/>
        <w:wordWrap/>
        <w:overflowPunct/>
        <w:topLinePunct w:val="0"/>
        <w:bidi w:val="0"/>
        <w:spacing w:line="360" w:lineRule="auto"/>
        <w:textAlignment w:val="auto"/>
        <w:rPr>
          <w:rFonts w:hint="eastAsia" w:ascii="宋体" w:hAnsi="宋体" w:eastAsia="宋体"/>
          <w:b/>
          <w:bCs/>
          <w:szCs w:val="21"/>
        </w:rPr>
      </w:pPr>
      <w:r>
        <w:rPr>
          <w:rFonts w:hint="eastAsia" w:ascii="宋体" w:hAnsi="宋体" w:eastAsia="宋体"/>
          <w:b/>
          <w:bCs/>
          <w:szCs w:val="21"/>
        </w:rPr>
        <w:t>2.3管理需求</w:t>
      </w:r>
    </w:p>
    <w:p w14:paraId="20D55917">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szCs w:val="21"/>
        </w:rPr>
      </w:pPr>
      <w:r>
        <w:rPr>
          <w:rFonts w:hint="eastAsia" w:ascii="宋体" w:hAnsi="宋体" w:eastAsia="宋体"/>
          <w:szCs w:val="21"/>
        </w:rPr>
        <w:t>目前关于电镀园区水污染治理设施运营管理相关技术规范仍处于空白。与其它工业废水比较，电镀废水中由于含有一类污染物、废水中化学品的种类和数量较多、水质波动性大，造成处理和运营难度大。另外电镀园区在电镀废水源头分类收集、全程风险管控等方面比单个电镀企业要求更高。环保监管部门对电镀园区的废水的排放和环境风险防控的要求日趋严格。</w:t>
      </w:r>
    </w:p>
    <w:p w14:paraId="33C79C53">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szCs w:val="21"/>
        </w:rPr>
      </w:pPr>
      <w:r>
        <w:rPr>
          <w:rFonts w:hint="eastAsia" w:ascii="宋体" w:hAnsi="宋体" w:eastAsia="宋体"/>
          <w:szCs w:val="21"/>
        </w:rPr>
        <w:t>综上所述，加强电镀园区废水处理设施的运营管理工作，进一步提高电镀园区废水处理规范化管理水平，推动废水处理设施长期稳定达标，对于保护生态环境和电镀企业的可持续发展，意义重大。</w:t>
      </w:r>
    </w:p>
    <w:p w14:paraId="49988C66">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szCs w:val="21"/>
        </w:rPr>
      </w:pPr>
    </w:p>
    <w:p w14:paraId="5BE050FE">
      <w:pPr>
        <w:keepNext w:val="0"/>
        <w:keepLines w:val="0"/>
        <w:pageBreakBefore w:val="0"/>
        <w:kinsoku/>
        <w:wordWrap/>
        <w:overflowPunct/>
        <w:topLinePunct w:val="0"/>
        <w:bidi w:val="0"/>
        <w:spacing w:line="360" w:lineRule="auto"/>
        <w:textAlignment w:val="auto"/>
        <w:rPr>
          <w:rFonts w:hint="eastAsia" w:ascii="宋体" w:hAnsi="宋体" w:eastAsia="宋体"/>
          <w:b/>
          <w:bCs/>
          <w:szCs w:val="21"/>
        </w:rPr>
      </w:pPr>
      <w:r>
        <w:rPr>
          <w:rFonts w:hint="eastAsia" w:ascii="宋体" w:hAnsi="宋体" w:eastAsia="宋体"/>
          <w:b/>
          <w:bCs/>
          <w:szCs w:val="21"/>
        </w:rPr>
        <w:t>三、国内外相关情况</w:t>
      </w:r>
    </w:p>
    <w:p w14:paraId="1ADD6E0C">
      <w:pPr>
        <w:keepNext w:val="0"/>
        <w:keepLines w:val="0"/>
        <w:pageBreakBefore w:val="0"/>
        <w:kinsoku/>
        <w:wordWrap/>
        <w:overflowPunct/>
        <w:topLinePunct w:val="0"/>
        <w:bidi w:val="0"/>
        <w:spacing w:line="360" w:lineRule="auto"/>
        <w:textAlignment w:val="auto"/>
        <w:rPr>
          <w:rFonts w:hint="eastAsia" w:ascii="宋体" w:hAnsi="宋体" w:eastAsia="宋体"/>
          <w:b/>
          <w:bCs/>
          <w:szCs w:val="21"/>
        </w:rPr>
      </w:pPr>
      <w:r>
        <w:rPr>
          <w:rFonts w:hint="eastAsia" w:ascii="宋体" w:hAnsi="宋体" w:eastAsia="宋体"/>
          <w:b/>
          <w:bCs/>
          <w:szCs w:val="21"/>
        </w:rPr>
        <w:t>3.1国外情况</w:t>
      </w:r>
    </w:p>
    <w:p w14:paraId="04DAB2A5">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szCs w:val="21"/>
        </w:rPr>
      </w:pPr>
      <w:r>
        <w:rPr>
          <w:rFonts w:hint="eastAsia" w:ascii="宋体" w:hAnsi="宋体" w:eastAsia="宋体"/>
          <w:szCs w:val="21"/>
        </w:rPr>
        <w:t>经文献调研，未查到有关电镀园区水污染治理设施运营管理相关的技术规范。</w:t>
      </w:r>
    </w:p>
    <w:p w14:paraId="16CFCEE5">
      <w:pPr>
        <w:keepNext w:val="0"/>
        <w:keepLines w:val="0"/>
        <w:pageBreakBefore w:val="0"/>
        <w:kinsoku/>
        <w:wordWrap/>
        <w:overflowPunct/>
        <w:topLinePunct w:val="0"/>
        <w:bidi w:val="0"/>
        <w:spacing w:line="360" w:lineRule="auto"/>
        <w:textAlignment w:val="auto"/>
        <w:rPr>
          <w:rFonts w:hint="eastAsia" w:ascii="宋体" w:hAnsi="宋体" w:eastAsia="宋体"/>
          <w:b/>
          <w:bCs/>
          <w:szCs w:val="21"/>
        </w:rPr>
      </w:pPr>
      <w:r>
        <w:rPr>
          <w:rFonts w:hint="eastAsia" w:ascii="宋体" w:hAnsi="宋体" w:eastAsia="宋体"/>
          <w:b/>
          <w:bCs/>
          <w:szCs w:val="21"/>
        </w:rPr>
        <w:t>3.2国内情况</w:t>
      </w:r>
    </w:p>
    <w:p w14:paraId="251E14C0">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szCs w:val="21"/>
        </w:rPr>
      </w:pPr>
      <w:r>
        <w:rPr>
          <w:rFonts w:hint="eastAsia" w:ascii="宋体" w:hAnsi="宋体" w:eastAsia="宋体"/>
          <w:szCs w:val="21"/>
        </w:rPr>
        <w:t>2010年12月环境保护部发布《电镀废水治理工程技术规范》（HJ 2002—2010），规定了电镀废水治理工程设计、施工、验收和运行的技术要求。适用于电镀废水治理工程的技术方案选择、工程设计、施工、验收、运行等的全过程管理和已建电镀废水治理工程的运行管理，可作为环境影响评价、环境保护设施设计与施工、建设项目竣工环境保护验收及建成后运行与管理的技术依据。</w:t>
      </w:r>
    </w:p>
    <w:p w14:paraId="0E0EE098">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szCs w:val="21"/>
        </w:rPr>
      </w:pPr>
      <w:r>
        <w:rPr>
          <w:rFonts w:hint="eastAsia" w:ascii="宋体" w:hAnsi="宋体" w:eastAsia="宋体"/>
          <w:szCs w:val="21"/>
        </w:rPr>
        <w:t>2008年6月环境保护部等部门发布《电镀污染物排放标准》（GB21900-2008），标准规定了电镀企业和拥有电镀设施的企业的电镀水污染物和大气污染物的排放限值等内容。适用于现有电镀企业的水污染物排放管理、大气污染物排放管理。</w:t>
      </w:r>
    </w:p>
    <w:p w14:paraId="6BCAEEB3">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szCs w:val="21"/>
        </w:rPr>
      </w:pPr>
      <w:r>
        <w:rPr>
          <w:rFonts w:hint="eastAsia" w:ascii="宋体" w:hAnsi="宋体" w:eastAsia="宋体"/>
          <w:szCs w:val="21"/>
        </w:rPr>
        <w:t>2015年，在《电镀污染物排放标准》（GB21900-2008）的基础上，</w:t>
      </w:r>
      <w:r>
        <w:rPr>
          <w:rFonts w:hint="eastAsia" w:ascii="宋体" w:hAnsi="宋体" w:eastAsia="宋体"/>
          <w:szCs w:val="21"/>
          <w:lang w:val="en-US" w:eastAsia="zh-CN"/>
        </w:rPr>
        <w:t>原广东省环境保护局</w:t>
      </w:r>
      <w:r>
        <w:rPr>
          <w:rFonts w:hint="eastAsia" w:ascii="宋体" w:hAnsi="宋体" w:eastAsia="宋体"/>
          <w:szCs w:val="21"/>
        </w:rPr>
        <w:t>、广东省质量技术监督局联合发布地方标准《电镀水污染物排放标准》（DB44/1579-2015）。是全国首个电镀废水排放地方标准。标准将实施区域分为珠三角和非珠三角地区，对不同地区的新建及现有项目做出不同要求。</w:t>
      </w:r>
      <w:r>
        <w:rPr>
          <w:rFonts w:hint="eastAsia" w:ascii="宋体" w:hAnsi="宋体" w:eastAsia="宋体"/>
          <w:szCs w:val="21"/>
          <w:lang w:val="en-US" w:eastAsia="zh-CN"/>
        </w:rPr>
        <w:t>该标准</w:t>
      </w:r>
      <w:r>
        <w:rPr>
          <w:rFonts w:hint="eastAsia" w:ascii="宋体" w:hAnsi="宋体" w:eastAsia="宋体"/>
          <w:szCs w:val="21"/>
        </w:rPr>
        <w:t>旨在加强广东省电镀水污染物排放控制，减少和削减重金属污染，保护和改善水环境质量，促进电镀工艺和污染治理技术的进步</w:t>
      </w:r>
      <w:r>
        <w:rPr>
          <w:rFonts w:hint="eastAsia" w:ascii="宋体" w:hAnsi="宋体" w:eastAsia="宋体"/>
          <w:szCs w:val="21"/>
          <w:lang w:eastAsia="zh-CN"/>
        </w:rPr>
        <w:t>，</w:t>
      </w:r>
      <w:r>
        <w:rPr>
          <w:rFonts w:hint="eastAsia" w:ascii="宋体" w:hAnsi="宋体" w:eastAsia="宋体"/>
          <w:szCs w:val="21"/>
          <w:lang w:val="en-US" w:eastAsia="zh-CN"/>
        </w:rPr>
        <w:t>同时</w:t>
      </w:r>
      <w:r>
        <w:rPr>
          <w:rFonts w:hint="eastAsia" w:ascii="宋体" w:hAnsi="宋体" w:eastAsia="宋体"/>
          <w:szCs w:val="21"/>
        </w:rPr>
        <w:t>有利于促进行业合理布局，优化产业发展。</w:t>
      </w:r>
    </w:p>
    <w:p w14:paraId="63342DCE">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szCs w:val="21"/>
        </w:rPr>
      </w:pPr>
      <w:r>
        <w:rPr>
          <w:rFonts w:hint="eastAsia" w:ascii="宋体" w:hAnsi="宋体" w:eastAsia="宋体"/>
          <w:szCs w:val="21"/>
        </w:rPr>
        <w:t>2023年08月生态环境部发布《电镀污染防治可行技术指南》（HJ 1306—2023），提出了电镀废水、废气、固体废物和噪声污染防治可行技术。可作为电镀企业、电镀生产设施和电镀污水集中处理设施等建设项目环境影响评价、国家污染物排放标准制修订、排污许可管理和污染防治技术选择的参考。</w:t>
      </w:r>
    </w:p>
    <w:p w14:paraId="63CE1D83">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szCs w:val="21"/>
        </w:rPr>
      </w:pPr>
      <w:r>
        <w:rPr>
          <w:rFonts w:hint="eastAsia" w:ascii="宋体" w:hAnsi="宋体" w:eastAsia="宋体"/>
          <w:szCs w:val="21"/>
        </w:rPr>
        <w:t>在水染物治理设施运营方面，2014年6月环境保护部发布《城镇污水处理厂运行监督管理技术规范》（HJ2038-2014），规定了城镇污水处理厂运行管理的技术要求和运行效果的性能评估。适用于城镇污水处理厂的运行管理和监督检查。有利于加强城镇污水处理厂运行管理，确保城镇污水处理厂稳定、达标排放。2023年01月，广东省环境保护产业协会团体标准《印制电路板行业废水治理工程技术规范》立项，主要解决印刷电路板(PCB)制造产业废水治理设施运营管理问题。</w:t>
      </w:r>
    </w:p>
    <w:p w14:paraId="754F1715">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szCs w:val="21"/>
        </w:rPr>
      </w:pPr>
      <w:r>
        <w:rPr>
          <w:rFonts w:hint="eastAsia" w:ascii="宋体" w:hAnsi="宋体" w:eastAsia="宋体"/>
          <w:szCs w:val="21"/>
        </w:rPr>
        <w:t>目前我省在电镀园区水污染治理设施运营管理方面的相关技术规范仍处于空白，亟待制订。</w:t>
      </w:r>
    </w:p>
    <w:p w14:paraId="7AA817EB">
      <w:pPr>
        <w:keepNext w:val="0"/>
        <w:keepLines w:val="0"/>
        <w:pageBreakBefore w:val="0"/>
        <w:kinsoku/>
        <w:wordWrap/>
        <w:overflowPunct/>
        <w:topLinePunct w:val="0"/>
        <w:bidi w:val="0"/>
        <w:spacing w:line="360" w:lineRule="auto"/>
        <w:textAlignment w:val="auto"/>
        <w:rPr>
          <w:rFonts w:hint="eastAsia" w:ascii="宋体" w:hAnsi="宋体" w:eastAsia="宋体"/>
          <w:b/>
          <w:bCs/>
          <w:szCs w:val="21"/>
        </w:rPr>
      </w:pPr>
      <w:r>
        <w:rPr>
          <w:rFonts w:hint="eastAsia" w:ascii="宋体" w:hAnsi="宋体" w:eastAsia="宋体"/>
          <w:b/>
          <w:bCs/>
          <w:szCs w:val="21"/>
        </w:rPr>
        <w:t>四、 编制原则、标准框架主要内容及其确定依据</w:t>
      </w:r>
    </w:p>
    <w:p w14:paraId="09AF7EF9">
      <w:pPr>
        <w:keepNext w:val="0"/>
        <w:keepLines w:val="0"/>
        <w:pageBreakBefore w:val="0"/>
        <w:kinsoku/>
        <w:wordWrap/>
        <w:overflowPunct/>
        <w:topLinePunct w:val="0"/>
        <w:bidi w:val="0"/>
        <w:spacing w:line="360" w:lineRule="auto"/>
        <w:textAlignment w:val="auto"/>
        <w:rPr>
          <w:rFonts w:hint="eastAsia" w:ascii="宋体" w:hAnsi="宋体" w:eastAsia="宋体"/>
          <w:b/>
          <w:bCs/>
          <w:szCs w:val="21"/>
        </w:rPr>
      </w:pPr>
      <w:r>
        <w:rPr>
          <w:rFonts w:hint="eastAsia" w:ascii="宋体" w:hAnsi="宋体" w:eastAsia="宋体"/>
          <w:b/>
          <w:bCs/>
          <w:szCs w:val="21"/>
        </w:rPr>
        <w:t>4.1标准编制原则</w:t>
      </w:r>
    </w:p>
    <w:p w14:paraId="74C157B5">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szCs w:val="21"/>
        </w:rPr>
      </w:pPr>
      <w:r>
        <w:rPr>
          <w:rFonts w:hint="eastAsia" w:ascii="宋体" w:hAnsi="宋体" w:eastAsia="宋体"/>
          <w:szCs w:val="21"/>
        </w:rPr>
        <w:t>（1）坚持规范性原则。本标准按照《标准化工作导则 第1部分：标准化文件的结构和起草规则》GB/T 1.1-2020规划起草。</w:t>
      </w:r>
    </w:p>
    <w:p w14:paraId="384EBE07">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szCs w:val="21"/>
        </w:rPr>
      </w:pPr>
      <w:r>
        <w:rPr>
          <w:rFonts w:hint="eastAsia" w:ascii="宋体" w:hAnsi="宋体" w:eastAsia="宋体"/>
          <w:szCs w:val="21"/>
        </w:rPr>
        <w:t>（2）坚持政策相符原则：与我国现行有关法律、法规、制度、标准相一致。</w:t>
      </w:r>
    </w:p>
    <w:p w14:paraId="3FDCF560">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szCs w:val="21"/>
        </w:rPr>
      </w:pPr>
      <w:r>
        <w:rPr>
          <w:rFonts w:hint="eastAsia" w:ascii="宋体" w:hAnsi="宋体" w:eastAsia="宋体"/>
          <w:szCs w:val="21"/>
        </w:rPr>
        <w:t>（3）坚持科学性原则：充分考虑现有的理论、方法及实践经验，与国内现有行业现状、技术水平相衔接。</w:t>
      </w:r>
    </w:p>
    <w:p w14:paraId="1ABE2DC2">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szCs w:val="21"/>
        </w:rPr>
      </w:pPr>
      <w:r>
        <w:rPr>
          <w:rFonts w:hint="eastAsia" w:ascii="宋体" w:hAnsi="宋体" w:eastAsia="宋体"/>
          <w:szCs w:val="21"/>
        </w:rPr>
        <w:t>（4）坚持实用性原则：充分考虑我国电镀园区设施运营现状和运营技术水平，确保相关运营管理技术的可行性。</w:t>
      </w:r>
    </w:p>
    <w:p w14:paraId="5F27390E">
      <w:pPr>
        <w:keepNext w:val="0"/>
        <w:keepLines w:val="0"/>
        <w:pageBreakBefore w:val="0"/>
        <w:kinsoku/>
        <w:wordWrap/>
        <w:overflowPunct/>
        <w:topLinePunct w:val="0"/>
        <w:bidi w:val="0"/>
        <w:spacing w:line="360" w:lineRule="auto"/>
        <w:textAlignment w:val="auto"/>
        <w:rPr>
          <w:rFonts w:hint="eastAsia" w:ascii="宋体" w:hAnsi="宋体" w:eastAsia="宋体"/>
          <w:b/>
          <w:bCs/>
          <w:szCs w:val="21"/>
        </w:rPr>
      </w:pPr>
      <w:r>
        <w:rPr>
          <w:rFonts w:hint="eastAsia" w:ascii="宋体" w:hAnsi="宋体" w:eastAsia="宋体"/>
          <w:b/>
          <w:bCs/>
          <w:szCs w:val="21"/>
        </w:rPr>
        <w:t>4.2标准框架</w:t>
      </w:r>
    </w:p>
    <w:p w14:paraId="673B939E">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szCs w:val="21"/>
        </w:rPr>
      </w:pPr>
      <w:r>
        <w:rPr>
          <w:rFonts w:hint="eastAsia" w:ascii="宋体" w:hAnsi="宋体" w:eastAsia="宋体"/>
          <w:szCs w:val="21"/>
        </w:rPr>
        <w:t>本规范依据GB/T 1.1-2020《标准化工作导则 第1部分：标准化文件的结构和起草规则》规划起草，遵照我国现行相关法律法规、规章、技术规范，并结合广东省地方特点编写。本规范由13章组成，包括：1.</w:t>
      </w:r>
      <w:r>
        <w:fldChar w:fldCharType="begin"/>
      </w:r>
      <w:r>
        <w:instrText xml:space="preserve"> HYPERLINK \l "_Toc13688" </w:instrText>
      </w:r>
      <w:r>
        <w:fldChar w:fldCharType="separate"/>
      </w:r>
      <w:r>
        <w:rPr>
          <w:rFonts w:hint="eastAsia" w:ascii="宋体" w:hAnsi="宋体" w:eastAsia="宋体"/>
          <w:szCs w:val="21"/>
        </w:rPr>
        <w:t>范围</w:t>
      </w:r>
      <w:r>
        <w:rPr>
          <w:rFonts w:hint="eastAsia" w:ascii="宋体" w:hAnsi="宋体" w:eastAsia="宋体"/>
          <w:szCs w:val="21"/>
        </w:rPr>
        <w:fldChar w:fldCharType="end"/>
      </w:r>
      <w:r>
        <w:rPr>
          <w:rFonts w:hint="eastAsia" w:ascii="宋体" w:hAnsi="宋体" w:eastAsia="宋体"/>
          <w:szCs w:val="21"/>
        </w:rPr>
        <w:t>、2.</w:t>
      </w:r>
      <w:r>
        <w:fldChar w:fldCharType="begin"/>
      </w:r>
      <w:r>
        <w:instrText xml:space="preserve"> HYPERLINK \l "_Toc1283" </w:instrText>
      </w:r>
      <w:r>
        <w:fldChar w:fldCharType="separate"/>
      </w:r>
      <w:r>
        <w:rPr>
          <w:rFonts w:hint="eastAsia" w:ascii="宋体" w:hAnsi="宋体" w:eastAsia="宋体"/>
          <w:szCs w:val="21"/>
        </w:rPr>
        <w:t>规范性引用文件</w:t>
      </w:r>
      <w:r>
        <w:rPr>
          <w:rFonts w:hint="eastAsia" w:ascii="宋体" w:hAnsi="宋体" w:eastAsia="宋体"/>
          <w:szCs w:val="21"/>
        </w:rPr>
        <w:fldChar w:fldCharType="end"/>
      </w:r>
      <w:r>
        <w:rPr>
          <w:rFonts w:hint="eastAsia" w:ascii="宋体" w:hAnsi="宋体" w:eastAsia="宋体"/>
          <w:szCs w:val="21"/>
        </w:rPr>
        <w:t>、3.</w:t>
      </w:r>
      <w:r>
        <w:fldChar w:fldCharType="begin"/>
      </w:r>
      <w:r>
        <w:instrText xml:space="preserve"> HYPERLINK \l "_Toc26331" </w:instrText>
      </w:r>
      <w:r>
        <w:fldChar w:fldCharType="separate"/>
      </w:r>
      <w:r>
        <w:rPr>
          <w:rFonts w:hint="eastAsia" w:ascii="宋体" w:hAnsi="宋体" w:eastAsia="宋体"/>
          <w:szCs w:val="21"/>
        </w:rPr>
        <w:t>术语和定义</w:t>
      </w:r>
      <w:r>
        <w:rPr>
          <w:rFonts w:hint="eastAsia" w:ascii="宋体" w:hAnsi="宋体" w:eastAsia="宋体"/>
          <w:szCs w:val="21"/>
        </w:rPr>
        <w:fldChar w:fldCharType="end"/>
      </w:r>
      <w:r>
        <w:rPr>
          <w:rFonts w:hint="eastAsia" w:ascii="宋体" w:hAnsi="宋体" w:eastAsia="宋体"/>
          <w:szCs w:val="21"/>
        </w:rPr>
        <w:t>、4.</w:t>
      </w:r>
      <w:r>
        <w:fldChar w:fldCharType="begin"/>
      </w:r>
      <w:r>
        <w:instrText xml:space="preserve"> HYPERLINK \l "_Toc7580" </w:instrText>
      </w:r>
      <w:r>
        <w:fldChar w:fldCharType="separate"/>
      </w:r>
      <w:r>
        <w:rPr>
          <w:rFonts w:hint="eastAsia" w:ascii="宋体" w:hAnsi="宋体" w:eastAsia="宋体"/>
          <w:szCs w:val="21"/>
        </w:rPr>
        <w:t>总体要求</w:t>
      </w:r>
      <w:r>
        <w:rPr>
          <w:rFonts w:hint="eastAsia" w:ascii="宋体" w:hAnsi="宋体" w:eastAsia="宋体"/>
          <w:szCs w:val="21"/>
        </w:rPr>
        <w:fldChar w:fldCharType="end"/>
      </w:r>
      <w:r>
        <w:rPr>
          <w:rFonts w:hint="eastAsia" w:ascii="宋体" w:hAnsi="宋体" w:eastAsia="宋体"/>
          <w:szCs w:val="21"/>
        </w:rPr>
        <w:t>、5.</w:t>
      </w:r>
      <w:r>
        <w:fldChar w:fldCharType="begin"/>
      </w:r>
      <w:r>
        <w:instrText xml:space="preserve"> HYPERLINK \l "_Toc15215" </w:instrText>
      </w:r>
      <w:r>
        <w:fldChar w:fldCharType="separate"/>
      </w:r>
      <w:r>
        <w:rPr>
          <w:rFonts w:hint="eastAsia" w:ascii="宋体" w:hAnsi="宋体" w:eastAsia="宋体"/>
          <w:szCs w:val="21"/>
        </w:rPr>
        <w:t>废水收集的管理</w:t>
      </w:r>
      <w:r>
        <w:rPr>
          <w:rFonts w:hint="eastAsia" w:ascii="宋体" w:hAnsi="宋体" w:eastAsia="宋体"/>
          <w:szCs w:val="21"/>
        </w:rPr>
        <w:fldChar w:fldCharType="end"/>
      </w:r>
      <w:r>
        <w:rPr>
          <w:rFonts w:hint="eastAsia" w:ascii="宋体" w:hAnsi="宋体" w:eastAsia="宋体"/>
          <w:szCs w:val="21"/>
        </w:rPr>
        <w:t>、6.</w:t>
      </w:r>
      <w:r>
        <w:fldChar w:fldCharType="begin"/>
      </w:r>
      <w:r>
        <w:instrText xml:space="preserve"> HYPERLINK \l "_Toc22246" </w:instrText>
      </w:r>
      <w:r>
        <w:fldChar w:fldCharType="separate"/>
      </w:r>
      <w:r>
        <w:rPr>
          <w:rFonts w:hint="eastAsia" w:ascii="宋体" w:hAnsi="宋体" w:eastAsia="宋体"/>
          <w:szCs w:val="21"/>
        </w:rPr>
        <w:t>废水治理</w:t>
      </w:r>
      <w:r>
        <w:rPr>
          <w:rFonts w:hint="eastAsia" w:ascii="宋体" w:hAnsi="宋体" w:eastAsia="宋体"/>
          <w:szCs w:val="21"/>
        </w:rPr>
        <w:fldChar w:fldCharType="end"/>
      </w:r>
      <w:r>
        <w:rPr>
          <w:rFonts w:hint="eastAsia" w:ascii="宋体" w:hAnsi="宋体" w:eastAsia="宋体"/>
          <w:szCs w:val="21"/>
        </w:rPr>
        <w:t>、7.</w:t>
      </w:r>
      <w:r>
        <w:fldChar w:fldCharType="begin"/>
      </w:r>
      <w:r>
        <w:instrText xml:space="preserve"> HYPERLINK \l "_Toc13343" </w:instrText>
      </w:r>
      <w:r>
        <w:fldChar w:fldCharType="separate"/>
      </w:r>
      <w:r>
        <w:rPr>
          <w:rFonts w:hint="eastAsia" w:ascii="宋体" w:hAnsi="宋体" w:eastAsia="宋体"/>
          <w:szCs w:val="21"/>
        </w:rPr>
        <w:t>污泥处理</w:t>
      </w:r>
      <w:r>
        <w:rPr>
          <w:rFonts w:hint="eastAsia" w:ascii="宋体" w:hAnsi="宋体" w:eastAsia="宋体"/>
          <w:szCs w:val="21"/>
        </w:rPr>
        <w:fldChar w:fldCharType="end"/>
      </w:r>
      <w:r>
        <w:rPr>
          <w:rFonts w:hint="eastAsia" w:ascii="宋体" w:hAnsi="宋体" w:eastAsia="宋体"/>
          <w:szCs w:val="21"/>
        </w:rPr>
        <w:t>、8.</w:t>
      </w:r>
      <w:r>
        <w:fldChar w:fldCharType="begin"/>
      </w:r>
      <w:r>
        <w:instrText xml:space="preserve"> HYPERLINK \l "_Toc8778" </w:instrText>
      </w:r>
      <w:r>
        <w:fldChar w:fldCharType="separate"/>
      </w:r>
      <w:r>
        <w:rPr>
          <w:rFonts w:hint="eastAsia" w:ascii="宋体" w:hAnsi="宋体" w:eastAsia="宋体"/>
          <w:szCs w:val="21"/>
        </w:rPr>
        <w:t>废气处理</w:t>
      </w:r>
      <w:r>
        <w:rPr>
          <w:rFonts w:hint="eastAsia" w:ascii="宋体" w:hAnsi="宋体" w:eastAsia="宋体"/>
          <w:szCs w:val="21"/>
        </w:rPr>
        <w:fldChar w:fldCharType="end"/>
      </w:r>
      <w:r>
        <w:rPr>
          <w:rFonts w:hint="eastAsia" w:ascii="宋体" w:hAnsi="宋体" w:eastAsia="宋体"/>
          <w:szCs w:val="21"/>
        </w:rPr>
        <w:t>、9.</w:t>
      </w:r>
      <w:r>
        <w:fldChar w:fldCharType="begin"/>
      </w:r>
      <w:r>
        <w:instrText xml:space="preserve"> HYPERLINK \l "_Toc18483" </w:instrText>
      </w:r>
      <w:r>
        <w:fldChar w:fldCharType="separate"/>
      </w:r>
      <w:r>
        <w:rPr>
          <w:rFonts w:hint="eastAsia" w:ascii="宋体" w:hAnsi="宋体" w:eastAsia="宋体"/>
          <w:szCs w:val="21"/>
        </w:rPr>
        <w:t>噪声</w:t>
      </w:r>
      <w:r>
        <w:rPr>
          <w:rFonts w:hint="eastAsia" w:ascii="宋体" w:hAnsi="宋体" w:eastAsia="宋体"/>
          <w:szCs w:val="21"/>
          <w:lang w:val="en-US" w:eastAsia="zh-CN"/>
        </w:rPr>
        <w:t>控制</w:t>
      </w:r>
      <w:r>
        <w:rPr>
          <w:rFonts w:hint="eastAsia" w:ascii="宋体" w:hAnsi="宋体" w:eastAsia="宋体"/>
          <w:szCs w:val="21"/>
        </w:rPr>
        <w:fldChar w:fldCharType="end"/>
      </w:r>
      <w:r>
        <w:rPr>
          <w:rFonts w:hint="eastAsia" w:ascii="宋体" w:hAnsi="宋体" w:eastAsia="宋体"/>
          <w:szCs w:val="21"/>
        </w:rPr>
        <w:t>、10.</w:t>
      </w:r>
      <w:r>
        <w:fldChar w:fldCharType="begin"/>
      </w:r>
      <w:r>
        <w:instrText xml:space="preserve"> HYPERLINK \l "_Toc16237" </w:instrText>
      </w:r>
      <w:r>
        <w:fldChar w:fldCharType="separate"/>
      </w:r>
      <w:r>
        <w:rPr>
          <w:rFonts w:hint="eastAsia" w:ascii="宋体" w:hAnsi="宋体" w:eastAsia="宋体"/>
          <w:szCs w:val="21"/>
        </w:rPr>
        <w:t>电气自控系统</w:t>
      </w:r>
      <w:r>
        <w:rPr>
          <w:rFonts w:hint="eastAsia" w:ascii="宋体" w:hAnsi="宋体" w:eastAsia="宋体"/>
          <w:szCs w:val="21"/>
        </w:rPr>
        <w:fldChar w:fldCharType="end"/>
      </w:r>
      <w:r>
        <w:rPr>
          <w:rFonts w:hint="eastAsia" w:ascii="宋体" w:hAnsi="宋体" w:eastAsia="宋体"/>
          <w:szCs w:val="21"/>
        </w:rPr>
        <w:t>、11.</w:t>
      </w:r>
      <w:r>
        <w:fldChar w:fldCharType="begin"/>
      </w:r>
      <w:r>
        <w:instrText xml:space="preserve"> HYPERLINK \l "_Toc12366" </w:instrText>
      </w:r>
      <w:r>
        <w:fldChar w:fldCharType="separate"/>
      </w:r>
      <w:r>
        <w:rPr>
          <w:rFonts w:hint="eastAsia" w:ascii="宋体" w:hAnsi="宋体" w:eastAsia="宋体"/>
          <w:szCs w:val="21"/>
        </w:rPr>
        <w:t>水质检测</w:t>
      </w:r>
      <w:r>
        <w:rPr>
          <w:rFonts w:hint="eastAsia" w:ascii="宋体" w:hAnsi="宋体" w:eastAsia="宋体"/>
          <w:szCs w:val="21"/>
        </w:rPr>
        <w:fldChar w:fldCharType="end"/>
      </w:r>
      <w:r>
        <w:rPr>
          <w:rFonts w:hint="eastAsia" w:ascii="宋体" w:hAnsi="宋体" w:eastAsia="宋体"/>
          <w:szCs w:val="21"/>
        </w:rPr>
        <w:t>、12.</w:t>
      </w:r>
      <w:r>
        <w:fldChar w:fldCharType="begin"/>
      </w:r>
      <w:r>
        <w:instrText xml:space="preserve"> HYPERLINK \l "_Toc26030" </w:instrText>
      </w:r>
      <w:r>
        <w:fldChar w:fldCharType="separate"/>
      </w:r>
      <w:r>
        <w:rPr>
          <w:rFonts w:hint="eastAsia" w:ascii="宋体" w:hAnsi="宋体" w:eastAsia="宋体"/>
          <w:szCs w:val="21"/>
        </w:rPr>
        <w:t>安全与应急管理</w:t>
      </w:r>
      <w:r>
        <w:rPr>
          <w:rFonts w:hint="eastAsia" w:ascii="宋体" w:hAnsi="宋体" w:eastAsia="宋体"/>
          <w:szCs w:val="21"/>
        </w:rPr>
        <w:fldChar w:fldCharType="end"/>
      </w:r>
      <w:r>
        <w:rPr>
          <w:rFonts w:hint="eastAsia" w:ascii="宋体" w:hAnsi="宋体" w:eastAsia="宋体"/>
          <w:szCs w:val="21"/>
        </w:rPr>
        <w:t>、13.</w:t>
      </w:r>
      <w:r>
        <w:fldChar w:fldCharType="begin"/>
      </w:r>
      <w:r>
        <w:instrText xml:space="preserve"> HYPERLINK \l "_Toc19062" </w:instrText>
      </w:r>
      <w:r>
        <w:fldChar w:fldCharType="separate"/>
      </w:r>
      <w:r>
        <w:rPr>
          <w:rFonts w:hint="eastAsia" w:ascii="宋体" w:hAnsi="宋体" w:eastAsia="宋体"/>
          <w:szCs w:val="21"/>
        </w:rPr>
        <w:t>智慧运维</w:t>
      </w:r>
      <w:r>
        <w:rPr>
          <w:rFonts w:hint="eastAsia" w:ascii="宋体" w:hAnsi="宋体" w:eastAsia="宋体"/>
          <w:szCs w:val="21"/>
        </w:rPr>
        <w:fldChar w:fldCharType="end"/>
      </w:r>
      <w:r>
        <w:rPr>
          <w:rFonts w:hint="eastAsia" w:ascii="宋体" w:hAnsi="宋体" w:eastAsia="宋体"/>
          <w:szCs w:val="21"/>
        </w:rPr>
        <w:t>。本规范导则附录内容有15个，包括附录A（资料性）MBR膜组件常见问题、原因及处理方法、附录B（资料性）超微（滤）单元装置故障排查及处理方法、附录C（资料性）反渗透（纳滤）单元装置故障排查及处理方法、附录D（资料性）配药记录表、附录E（资料性）常用设备维护周期及检修内容、附录F（资料性）常用池体维护清理周期及内容、附录G（资料性）污泥处理记录表及污泥转运记录表、附录H（资料性）实验室常用检测仪器校验频率表、附录I（资料性）污水处理设备运行记录表、附录J（资料性）进出水水量水质检测记录表、附录K（资料性）交接班记录表、附录L（资料性）设备维护维修记录表、附录M（资料性）巡检记录表、附录N（资料性）管道颜色标识表及标识示意图、附录O（资料性）异常情况及应对措施表。</w:t>
      </w:r>
    </w:p>
    <w:p w14:paraId="0B741545">
      <w:pPr>
        <w:keepNext w:val="0"/>
        <w:keepLines w:val="0"/>
        <w:pageBreakBefore w:val="0"/>
        <w:kinsoku/>
        <w:wordWrap/>
        <w:overflowPunct/>
        <w:topLinePunct w:val="0"/>
        <w:bidi w:val="0"/>
        <w:spacing w:line="360" w:lineRule="auto"/>
        <w:textAlignment w:val="auto"/>
        <w:rPr>
          <w:rFonts w:hint="eastAsia" w:ascii="宋体" w:hAnsi="宋体" w:eastAsia="宋体"/>
          <w:b/>
          <w:bCs/>
          <w:szCs w:val="21"/>
        </w:rPr>
      </w:pPr>
    </w:p>
    <w:p w14:paraId="5DEF8DF1">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360" w:lineRule="auto"/>
        <w:jc w:val="both"/>
        <w:textAlignment w:val="auto"/>
        <w:rPr>
          <w:rFonts w:hint="eastAsia" w:ascii="宋体" w:hAnsi="宋体" w:eastAsia="宋体"/>
          <w:b/>
          <w:bCs/>
          <w:szCs w:val="21"/>
        </w:rPr>
      </w:pPr>
      <w:r>
        <w:rPr>
          <w:rFonts w:hint="eastAsia" w:ascii="宋体" w:hAnsi="宋体" w:eastAsia="宋体"/>
          <w:b/>
          <w:bCs/>
          <w:szCs w:val="21"/>
        </w:rPr>
        <w:t>4.3主要内容及其确定依据</w:t>
      </w:r>
    </w:p>
    <w:p w14:paraId="763A33E7">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szCs w:val="21"/>
        </w:rPr>
      </w:pPr>
      <w:r>
        <w:rPr>
          <w:rFonts w:hint="eastAsia" w:ascii="宋体" w:hAnsi="宋体" w:eastAsia="宋体"/>
          <w:szCs w:val="21"/>
        </w:rPr>
        <w:t>本文件规定了电镀园区污染治理设施运营管理的总体要求、废水收集、废水处理、污泥处理、废气处理、噪声</w:t>
      </w:r>
      <w:r>
        <w:rPr>
          <w:rFonts w:hint="eastAsia" w:ascii="宋体" w:hAnsi="宋体" w:eastAsia="宋体"/>
          <w:szCs w:val="21"/>
          <w:lang w:val="en-US" w:eastAsia="zh-CN"/>
        </w:rPr>
        <w:t>控制</w:t>
      </w:r>
      <w:r>
        <w:rPr>
          <w:rFonts w:hint="eastAsia" w:ascii="宋体" w:hAnsi="宋体" w:eastAsia="宋体"/>
          <w:szCs w:val="21"/>
        </w:rPr>
        <w:t>、设施维护、自控系统、水质检测、安全与应急、智慧运维等管理要求。</w:t>
      </w:r>
    </w:p>
    <w:p w14:paraId="1A6E10FF">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szCs w:val="21"/>
        </w:rPr>
      </w:pPr>
      <w:r>
        <w:rPr>
          <w:rFonts w:hint="eastAsia" w:ascii="宋体" w:hAnsi="宋体" w:eastAsia="宋体"/>
          <w:szCs w:val="21"/>
        </w:rPr>
        <w:t>（1）关于适用范围</w:t>
      </w:r>
    </w:p>
    <w:p w14:paraId="254C21BC">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szCs w:val="21"/>
        </w:rPr>
      </w:pPr>
      <w:r>
        <w:rPr>
          <w:rFonts w:hint="eastAsia" w:ascii="宋体" w:hAnsi="宋体" w:eastAsia="宋体"/>
          <w:szCs w:val="21"/>
        </w:rPr>
        <w:t>本文件规定了电镀园区污染治理设施运营管理的总体要求、废水收集、废水处理、污泥处理、废气处理、噪声</w:t>
      </w:r>
      <w:r>
        <w:rPr>
          <w:rFonts w:hint="eastAsia" w:ascii="宋体" w:hAnsi="宋体" w:eastAsia="宋体"/>
          <w:szCs w:val="21"/>
          <w:lang w:val="en-US" w:eastAsia="zh-CN"/>
        </w:rPr>
        <w:t>控制</w:t>
      </w:r>
      <w:r>
        <w:rPr>
          <w:rFonts w:hint="eastAsia" w:ascii="宋体" w:hAnsi="宋体" w:eastAsia="宋体"/>
          <w:szCs w:val="21"/>
        </w:rPr>
        <w:t>、设施维护、自控系统、水质检测、安全与应急、智慧运维等管理要求等内容。</w:t>
      </w:r>
    </w:p>
    <w:p w14:paraId="5C50D860">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szCs w:val="21"/>
        </w:rPr>
      </w:pPr>
      <w:r>
        <w:rPr>
          <w:rFonts w:hint="eastAsia" w:ascii="宋体" w:hAnsi="宋体" w:eastAsia="宋体"/>
          <w:szCs w:val="21"/>
        </w:rPr>
        <w:t>本文件适用于电镀园区污染治理设施的运营管理，电镀生产企业自行运营管理的可参照使用。</w:t>
      </w:r>
    </w:p>
    <w:p w14:paraId="799E1B58">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szCs w:val="21"/>
        </w:rPr>
      </w:pPr>
      <w:r>
        <w:rPr>
          <w:rFonts w:hint="eastAsia" w:ascii="宋体" w:hAnsi="宋体" w:eastAsia="宋体"/>
          <w:szCs w:val="21"/>
        </w:rPr>
        <w:t>（2）关于规范性文件</w:t>
      </w:r>
    </w:p>
    <w:p w14:paraId="6CD9AB1E">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szCs w:val="21"/>
        </w:rPr>
      </w:pPr>
      <w:r>
        <w:rPr>
          <w:rFonts w:hint="eastAsia" w:ascii="宋体" w:hAnsi="宋体" w:eastAsia="宋体"/>
          <w:szCs w:val="21"/>
        </w:rPr>
        <w:t>下列文件中的内容通过文中的规范性引用而构成本文件必不可少的条款。其中，注日期的引用文件，仅对该日期对应的版本适用于本文件；不注日期的文件，其最新版本（包括所有的修改单）适用于本文件。</w:t>
      </w:r>
    </w:p>
    <w:p w14:paraId="5ED5CD0D">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szCs w:val="21"/>
        </w:rPr>
      </w:pPr>
      <w:bookmarkStart w:id="0" w:name="_Toc17295"/>
      <w:r>
        <w:rPr>
          <w:rFonts w:hint="eastAsia" w:ascii="宋体" w:hAnsi="宋体" w:eastAsia="宋体"/>
          <w:szCs w:val="21"/>
        </w:rPr>
        <w:t>GB 21900 电镀污染物排放标准</w:t>
      </w:r>
    </w:p>
    <w:p w14:paraId="4B284290">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szCs w:val="21"/>
        </w:rPr>
      </w:pPr>
      <w:r>
        <w:rPr>
          <w:rFonts w:hint="eastAsia" w:ascii="宋体" w:hAnsi="宋体" w:eastAsia="宋体"/>
          <w:szCs w:val="21"/>
        </w:rPr>
        <w:t>GB 12348　工业企业厂界环境噪声排放标准</w:t>
      </w:r>
    </w:p>
    <w:p w14:paraId="628E7C28">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szCs w:val="21"/>
        </w:rPr>
      </w:pPr>
      <w:r>
        <w:rPr>
          <w:rFonts w:hint="eastAsia" w:ascii="宋体" w:hAnsi="宋体" w:eastAsia="宋体"/>
          <w:szCs w:val="21"/>
        </w:rPr>
        <w:t>GB 15562.1　环境保护图形标志 排放口（源）</w:t>
      </w:r>
    </w:p>
    <w:p w14:paraId="0F3DEF50">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szCs w:val="21"/>
        </w:rPr>
      </w:pPr>
      <w:r>
        <w:rPr>
          <w:rFonts w:hint="eastAsia" w:ascii="宋体" w:hAnsi="宋体" w:eastAsia="宋体"/>
          <w:szCs w:val="21"/>
        </w:rPr>
        <w:t>GB 15603　危险化学品仓库储存通则</w:t>
      </w:r>
    </w:p>
    <w:p w14:paraId="56128F4D">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szCs w:val="21"/>
        </w:rPr>
      </w:pPr>
      <w:r>
        <w:rPr>
          <w:rFonts w:hint="eastAsia" w:ascii="宋体" w:hAnsi="宋体" w:eastAsia="宋体"/>
          <w:szCs w:val="21"/>
        </w:rPr>
        <w:t>GB 18599　一般工业固体废物贮存和填埋污染控制标准</w:t>
      </w:r>
    </w:p>
    <w:p w14:paraId="21106281">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szCs w:val="21"/>
        </w:rPr>
      </w:pPr>
      <w:r>
        <w:rPr>
          <w:rFonts w:hint="eastAsia" w:ascii="宋体" w:hAnsi="宋体" w:eastAsia="宋体"/>
          <w:szCs w:val="21"/>
        </w:rPr>
        <w:t>GB 50087　工业企业噪声控制设计规范</w:t>
      </w:r>
    </w:p>
    <w:p w14:paraId="0C9FA710">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szCs w:val="21"/>
        </w:rPr>
      </w:pPr>
      <w:r>
        <w:rPr>
          <w:rFonts w:hint="eastAsia" w:ascii="宋体" w:hAnsi="宋体" w:eastAsia="宋体"/>
          <w:szCs w:val="21"/>
        </w:rPr>
        <w:t>GB 50174　数据中心设计规范</w:t>
      </w:r>
    </w:p>
    <w:p w14:paraId="63D8CD21">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szCs w:val="21"/>
        </w:rPr>
      </w:pPr>
      <w:r>
        <w:rPr>
          <w:rFonts w:hint="eastAsia" w:ascii="宋体" w:hAnsi="宋体" w:eastAsia="宋体"/>
          <w:szCs w:val="21"/>
        </w:rPr>
        <w:t>DB 44/1597 电镀水污染物排放标准</w:t>
      </w:r>
    </w:p>
    <w:p w14:paraId="0F424D4C">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szCs w:val="21"/>
        </w:rPr>
      </w:pPr>
      <w:r>
        <w:rPr>
          <w:rFonts w:hint="eastAsia" w:ascii="宋体" w:hAnsi="宋体" w:eastAsia="宋体"/>
          <w:szCs w:val="21"/>
        </w:rPr>
        <w:t>CJJ 6 城镇排水管道维护安全技术规程</w:t>
      </w:r>
    </w:p>
    <w:p w14:paraId="7D9C1C12">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szCs w:val="21"/>
        </w:rPr>
      </w:pPr>
      <w:r>
        <w:rPr>
          <w:rFonts w:hint="eastAsia" w:ascii="宋体" w:hAnsi="宋体" w:eastAsia="宋体"/>
          <w:szCs w:val="21"/>
        </w:rPr>
        <w:t>CJJ 68 城镇排水管渠与泵站运行、维护及安全技术规程</w:t>
      </w:r>
    </w:p>
    <w:p w14:paraId="68EDD8F8">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szCs w:val="21"/>
        </w:rPr>
      </w:pPr>
      <w:r>
        <w:rPr>
          <w:rFonts w:hint="eastAsia" w:ascii="宋体" w:hAnsi="宋体" w:eastAsia="宋体"/>
          <w:szCs w:val="21"/>
        </w:rPr>
        <w:t>HJ 2038　城镇污水处理厂运行监督管理技术规范</w:t>
      </w:r>
    </w:p>
    <w:p w14:paraId="07A99ACF">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szCs w:val="21"/>
        </w:rPr>
      </w:pPr>
      <w:r>
        <w:rPr>
          <w:rFonts w:hint="eastAsia" w:ascii="宋体" w:hAnsi="宋体" w:eastAsia="宋体"/>
          <w:szCs w:val="21"/>
        </w:rPr>
        <w:t>HJ 2025 危险废物收集 贮存 运输技术规范</w:t>
      </w:r>
    </w:p>
    <w:p w14:paraId="10A49C38">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szCs w:val="21"/>
        </w:rPr>
      </w:pPr>
      <w:r>
        <w:rPr>
          <w:rFonts w:hint="eastAsia" w:ascii="宋体" w:hAnsi="宋体" w:eastAsia="宋体"/>
          <w:szCs w:val="21"/>
        </w:rPr>
        <w:t>HJ 212  污染物在线监控（监测）系统数据传输标准</w:t>
      </w:r>
    </w:p>
    <w:p w14:paraId="1609B97B">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szCs w:val="21"/>
        </w:rPr>
      </w:pPr>
      <w:r>
        <w:rPr>
          <w:rFonts w:hint="eastAsia" w:ascii="宋体" w:hAnsi="宋体" w:eastAsia="宋体"/>
          <w:szCs w:val="21"/>
        </w:rPr>
        <w:t>HJ 493　水质　样品的保存和管理技术规定</w:t>
      </w:r>
    </w:p>
    <w:p w14:paraId="0E1D72D0">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szCs w:val="21"/>
        </w:rPr>
      </w:pPr>
      <w:r>
        <w:rPr>
          <w:rFonts w:hint="eastAsia" w:ascii="宋体" w:hAnsi="宋体" w:eastAsia="宋体"/>
          <w:szCs w:val="21"/>
        </w:rPr>
        <w:t>HJ 494　水质　采样技术指导</w:t>
      </w:r>
    </w:p>
    <w:p w14:paraId="40B7D43F">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szCs w:val="21"/>
        </w:rPr>
      </w:pPr>
      <w:r>
        <w:rPr>
          <w:rFonts w:hint="eastAsia" w:ascii="宋体" w:hAnsi="宋体" w:eastAsia="宋体"/>
          <w:szCs w:val="21"/>
        </w:rPr>
        <w:t>HJ 495　水质　采样方案设计技术规定</w:t>
      </w:r>
    </w:p>
    <w:p w14:paraId="3BD2AD5B">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szCs w:val="21"/>
        </w:rPr>
      </w:pPr>
      <w:r>
        <w:rPr>
          <w:rFonts w:hint="eastAsia" w:ascii="宋体" w:hAnsi="宋体" w:eastAsia="宋体"/>
          <w:szCs w:val="21"/>
        </w:rPr>
        <w:t>（3）术语和定义</w:t>
      </w:r>
      <w:bookmarkEnd w:id="0"/>
    </w:p>
    <w:p w14:paraId="78AF3AD5">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szCs w:val="21"/>
        </w:rPr>
      </w:pPr>
      <w:r>
        <w:rPr>
          <w:rFonts w:hint="eastAsia" w:ascii="宋体" w:hAnsi="宋体" w:eastAsia="宋体"/>
          <w:szCs w:val="21"/>
        </w:rPr>
        <w:t>本技术导则制定及引用了5个术语和定义，对电镀废水、危险废物、电镀园区、电镀园区污染治理设施、车间或生产设施废水排放口进行了明确和定义，其中，电镀废水定义来自HJ 2002-2010《电镀废水治理工程技术规范》，危险废物定义参考《国家危险废物名录》，电镀园区定义参考DB 44/1597-2015 《电镀水污染物排放标准》，电镀园区污染治理设施、车间或生产设施废水排放口定义参考HJ 1306-2023《电镀污染防治可行技术指南》，主要是为了让使用者能够准确理解、掌握电镀园区污染治理设施运营管理的要求。</w:t>
      </w:r>
    </w:p>
    <w:p w14:paraId="75710572">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szCs w:val="21"/>
        </w:rPr>
      </w:pPr>
      <w:bookmarkStart w:id="1" w:name="_Toc18014"/>
      <w:r>
        <w:rPr>
          <w:rFonts w:hint="eastAsia" w:ascii="宋体" w:hAnsi="宋体" w:eastAsia="宋体"/>
          <w:szCs w:val="21"/>
        </w:rPr>
        <w:t>（4）关于总体要求</w:t>
      </w:r>
      <w:bookmarkEnd w:id="1"/>
    </w:p>
    <w:p w14:paraId="467E5A42">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szCs w:val="21"/>
        </w:rPr>
      </w:pPr>
      <w:r>
        <w:rPr>
          <w:rFonts w:hint="eastAsia" w:ascii="宋体" w:hAnsi="宋体" w:eastAsia="宋体"/>
          <w:szCs w:val="21"/>
        </w:rPr>
        <w:t>主要规定了电镀园区废水治理设施验收、电镀废水收集与处理原则、运营管理团队建设、建立运行与维护的规章和规程、水质检测与应急、化学品与污泥管理等电镀园区污染治理设施在运营过程中应遵循的通用性要求。电镀园区污染治理设施运营前，各电镀企业电镀废水分类收集系统、收集管网、集中处理设施应通过建设项目竣工环境保护验收。电镀废水的收集与处理，应按环评及相关政策要求对废水进行分类收集、分质处与回用，确保出水污染物达标排放。运营团队管理建设应根据处理规模和运营的智能化水平确定人员编制，建立由生产、技术、管理、化验、后勤等组成的专业化运营管理队伍。电镀园区污染治理设施应设施独立化验室，确保污染物全过程监控。运营过程中，应根据当地环境政策要求，完善运营台账和档案，运行过程中，应定期检测各系统污染物含量，实时调整物化加药量等工艺参数，确保整体系统稳定运行。同时，还应定期维护池体、管道、各类在线仪器、电气设备及防雷设施。以上要求旨在</w:t>
      </w:r>
    </w:p>
    <w:p w14:paraId="62078FE1">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szCs w:val="21"/>
        </w:rPr>
      </w:pPr>
      <w:r>
        <w:rPr>
          <w:rFonts w:hint="eastAsia" w:ascii="宋体" w:hAnsi="宋体" w:eastAsia="宋体"/>
          <w:szCs w:val="21"/>
        </w:rPr>
        <w:t>（5）关于废水收集</w:t>
      </w:r>
    </w:p>
    <w:p w14:paraId="3F9D5CAC">
      <w:pPr>
        <w:keepNext w:val="0"/>
        <w:keepLines w:val="0"/>
        <w:pageBreakBefore w:val="0"/>
        <w:kinsoku/>
        <w:wordWrap/>
        <w:overflowPunct/>
        <w:topLinePunct w:val="0"/>
        <w:bidi w:val="0"/>
        <w:spacing w:line="360" w:lineRule="auto"/>
        <w:ind w:firstLine="420" w:firstLineChars="200"/>
        <w:textAlignment w:val="auto"/>
        <w:rPr>
          <w:rFonts w:ascii="宋体" w:hAnsi="宋体" w:eastAsia="宋体"/>
          <w:szCs w:val="21"/>
        </w:rPr>
      </w:pPr>
      <w:r>
        <w:rPr>
          <w:rFonts w:hint="eastAsia" w:ascii="宋体" w:hAnsi="宋体" w:eastAsia="宋体"/>
          <w:szCs w:val="21"/>
        </w:rPr>
        <w:t>主要规定了电镀废水的收集原则，对废水收集系统的管理范围、排水台账建立、特征污染物和重点监控污染物清单、管道标识、管道泄露防护等方面提出了运营管理要求。</w:t>
      </w:r>
    </w:p>
    <w:p w14:paraId="00F80812">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szCs w:val="21"/>
        </w:rPr>
      </w:pPr>
      <w:r>
        <w:rPr>
          <w:rFonts w:hint="eastAsia" w:ascii="宋体" w:hAnsi="宋体" w:eastAsia="宋体"/>
          <w:szCs w:val="21"/>
        </w:rPr>
        <w:t>电镀废水应分类收集分质处理。参考GB 15562.1　环境保护图形标志 排放口（源）、GB 7231 工业管道的基本识别色、识别符号和安全标识。应对收集管网等各种工艺管线、阀门及设备等定期 ，并建立相关明显安全标识，在充分保障人身安全的前提下，应确保管理流程清晰，避免废水泄露和混排。具体通过资料性附录M 实现。</w:t>
      </w:r>
    </w:p>
    <w:p w14:paraId="12F907FB">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szCs w:val="21"/>
        </w:rPr>
      </w:pPr>
      <w:bookmarkStart w:id="2" w:name="_Toc14141"/>
      <w:bookmarkStart w:id="3" w:name="_Toc2210"/>
      <w:bookmarkStart w:id="4" w:name="_Toc4077"/>
      <w:bookmarkStart w:id="5" w:name="_Toc85195641"/>
      <w:bookmarkStart w:id="6" w:name="_Toc32958916"/>
      <w:bookmarkStart w:id="7" w:name="_Toc42171175"/>
      <w:r>
        <w:rPr>
          <w:rFonts w:hint="eastAsia" w:ascii="宋体" w:hAnsi="宋体" w:eastAsia="宋体"/>
          <w:szCs w:val="21"/>
        </w:rPr>
        <w:t>（6）关于废水</w:t>
      </w:r>
      <w:bookmarkEnd w:id="2"/>
      <w:bookmarkEnd w:id="3"/>
      <w:bookmarkEnd w:id="4"/>
      <w:r>
        <w:rPr>
          <w:rFonts w:hint="eastAsia" w:ascii="宋体" w:hAnsi="宋体" w:eastAsia="宋体"/>
          <w:szCs w:val="21"/>
        </w:rPr>
        <w:t>治理</w:t>
      </w:r>
    </w:p>
    <w:p w14:paraId="76B3E552">
      <w:pPr>
        <w:keepNext w:val="0"/>
        <w:keepLines w:val="0"/>
        <w:pageBreakBefore w:val="0"/>
        <w:kinsoku/>
        <w:wordWrap/>
        <w:overflowPunct/>
        <w:topLinePunct w:val="0"/>
        <w:bidi w:val="0"/>
        <w:spacing w:line="360" w:lineRule="auto"/>
        <w:ind w:firstLine="420" w:firstLineChars="200"/>
        <w:textAlignment w:val="auto"/>
        <w:rPr>
          <w:rFonts w:ascii="宋体" w:hAnsi="宋体" w:eastAsia="宋体"/>
          <w:szCs w:val="21"/>
        </w:rPr>
      </w:pPr>
      <w:r>
        <w:rPr>
          <w:rFonts w:hint="eastAsia" w:ascii="宋体" w:hAnsi="宋体" w:eastAsia="宋体"/>
          <w:szCs w:val="21"/>
        </w:rPr>
        <w:t>参考HJ 2002 电镀废水治理工程技术规范、HJ 1306 电镀污染防治可行技术指南、HJ 1095-2020 芬顿氧化法废水处理工程技术规范、GB 33898 膜生物反应器通用技术规范、HJ 245 环境保护产品技术要求 悬挂式填料、HJ 246 环境保护产品技术要求 悬浮填料，规定了物化处理系统、生化处理系统、深度处理系统、回用系统、加药系统等废水处理过程的技术选择、工艺参数、设施管理、运行操作等管理要求。</w:t>
      </w:r>
    </w:p>
    <w:p w14:paraId="6E718361">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szCs w:val="21"/>
        </w:rPr>
      </w:pPr>
      <w:bookmarkStart w:id="8" w:name="_Toc755"/>
      <w:bookmarkStart w:id="9" w:name="_Toc19450"/>
      <w:bookmarkStart w:id="10" w:name="_Toc1276"/>
      <w:r>
        <w:rPr>
          <w:rFonts w:hint="eastAsia" w:ascii="宋体" w:hAnsi="宋体" w:eastAsia="宋体"/>
          <w:szCs w:val="21"/>
        </w:rPr>
        <w:t>（7）关于污泥处理</w:t>
      </w:r>
      <w:bookmarkEnd w:id="8"/>
      <w:bookmarkEnd w:id="9"/>
      <w:bookmarkEnd w:id="10"/>
    </w:p>
    <w:p w14:paraId="13CA258A">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szCs w:val="21"/>
        </w:rPr>
      </w:pPr>
      <w:r>
        <w:rPr>
          <w:rFonts w:hint="eastAsia" w:ascii="宋体" w:hAnsi="宋体" w:eastAsia="宋体"/>
          <w:szCs w:val="21"/>
        </w:rPr>
        <w:t>参考HJ 2002 电镀废水治理工程技术规范、GB 15603　危险化学品仓库储存通则、GB 18599　一般工业固体废物贮存和填埋污染控制标准、HJ 2025 危险废物收集 贮存 运输技术规范、作业场所安全使用化学品公约，主要规定了污泥处理设施、设备的建设运行、维护，污泥及滤液处置、污泥贮存及处置去向、用途、用量跟踪记录等管理要求。</w:t>
      </w:r>
    </w:p>
    <w:p w14:paraId="4D0ED801">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szCs w:val="21"/>
        </w:rPr>
      </w:pPr>
      <w:bookmarkStart w:id="11" w:name="_Toc11622"/>
      <w:bookmarkStart w:id="12" w:name="_Toc4662"/>
      <w:bookmarkStart w:id="13" w:name="_Toc18427"/>
      <w:r>
        <w:rPr>
          <w:rFonts w:hint="eastAsia" w:ascii="宋体" w:hAnsi="宋体" w:eastAsia="宋体"/>
          <w:szCs w:val="21"/>
        </w:rPr>
        <w:t>（8）</w:t>
      </w:r>
      <w:r>
        <w:rPr>
          <w:rFonts w:hint="eastAsia" w:ascii="宋体" w:hAnsi="宋体" w:eastAsia="宋体"/>
          <w:szCs w:val="21"/>
          <w:lang w:val="en-US" w:eastAsia="zh-CN"/>
        </w:rPr>
        <w:t>关于</w:t>
      </w:r>
      <w:r>
        <w:rPr>
          <w:rFonts w:hint="eastAsia" w:ascii="宋体" w:hAnsi="宋体" w:eastAsia="宋体"/>
          <w:szCs w:val="21"/>
        </w:rPr>
        <w:t>废气处理</w:t>
      </w:r>
      <w:bookmarkEnd w:id="11"/>
      <w:bookmarkEnd w:id="12"/>
      <w:bookmarkEnd w:id="13"/>
    </w:p>
    <w:p w14:paraId="4D817308">
      <w:pPr>
        <w:pStyle w:val="7"/>
        <w:keepNext w:val="0"/>
        <w:keepLines w:val="0"/>
        <w:pageBreakBefore w:val="0"/>
        <w:kinsoku/>
        <w:wordWrap/>
        <w:overflowPunct/>
        <w:topLinePunct w:val="0"/>
        <w:bidi w:val="0"/>
        <w:spacing w:line="360" w:lineRule="auto"/>
        <w:textAlignment w:val="auto"/>
        <w:rPr>
          <w:rFonts w:hint="eastAsia" w:hAnsi="宋体" w:cs="宋体"/>
        </w:rPr>
      </w:pPr>
      <w:r>
        <w:rPr>
          <w:rFonts w:hint="eastAsia" w:hAnsi="宋体" w:cs="宋体"/>
        </w:rPr>
        <w:t>参考GB 12348　工业企业厂界环境噪声排放标准，</w:t>
      </w:r>
      <w:r>
        <w:rPr>
          <w:rFonts w:hint="eastAsia" w:hAnsi="宋体"/>
          <w:szCs w:val="21"/>
        </w:rPr>
        <w:t>主要规定了废气收集、处理设施运行、维护等管理运营管理要求，并列出常用活性炭、生物、洗涤等臭气处理装置运行管理要求。</w:t>
      </w:r>
    </w:p>
    <w:p w14:paraId="7A26DD7C">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szCs w:val="21"/>
          <w:lang w:val="en-US" w:eastAsia="zh-CN"/>
        </w:rPr>
      </w:pPr>
      <w:bookmarkStart w:id="14" w:name="_Toc18871"/>
      <w:bookmarkStart w:id="15" w:name="_Toc1145"/>
      <w:bookmarkStart w:id="16" w:name="_Toc23638"/>
      <w:r>
        <w:rPr>
          <w:rFonts w:hint="eastAsia" w:ascii="宋体" w:hAnsi="宋体" w:eastAsia="宋体"/>
          <w:szCs w:val="21"/>
        </w:rPr>
        <w:t>（9）</w:t>
      </w:r>
      <w:r>
        <w:rPr>
          <w:rFonts w:hint="eastAsia" w:ascii="宋体" w:hAnsi="宋体" w:eastAsia="宋体"/>
          <w:szCs w:val="21"/>
          <w:lang w:val="en-US" w:eastAsia="zh-CN"/>
        </w:rPr>
        <w:t>关于</w:t>
      </w:r>
      <w:r>
        <w:rPr>
          <w:rFonts w:hint="eastAsia" w:ascii="宋体" w:hAnsi="宋体" w:eastAsia="宋体"/>
          <w:szCs w:val="21"/>
        </w:rPr>
        <w:t>噪声</w:t>
      </w:r>
      <w:bookmarkEnd w:id="14"/>
      <w:bookmarkEnd w:id="15"/>
      <w:bookmarkEnd w:id="16"/>
      <w:r>
        <w:rPr>
          <w:rFonts w:hint="eastAsia" w:ascii="宋体" w:hAnsi="宋体" w:eastAsia="宋体"/>
          <w:szCs w:val="21"/>
          <w:lang w:val="en-US" w:eastAsia="zh-CN"/>
        </w:rPr>
        <w:t>控制</w:t>
      </w:r>
    </w:p>
    <w:p w14:paraId="400BC73F">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szCs w:val="21"/>
        </w:rPr>
      </w:pPr>
      <w:r>
        <w:rPr>
          <w:rFonts w:hint="eastAsia" w:ascii="宋体" w:hAnsi="宋体" w:eastAsia="宋体"/>
          <w:szCs w:val="21"/>
        </w:rPr>
        <w:t>参考GB 50087　工业企业噪声控制设计规范主要规定了噪声振动污染控制设施、设备的建设运行、维护及厂界环境噪声、厂区内设施噪声控制等管理要求。</w:t>
      </w:r>
    </w:p>
    <w:p w14:paraId="1EE796A1">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sz w:val="21"/>
          <w:szCs w:val="21"/>
        </w:rPr>
      </w:pPr>
      <w:bookmarkStart w:id="17" w:name="_Toc24578"/>
      <w:bookmarkStart w:id="18" w:name="_Toc23068"/>
      <w:r>
        <w:rPr>
          <w:rFonts w:hint="eastAsia" w:ascii="宋体" w:hAnsi="宋体" w:eastAsia="宋体" w:cs="宋体"/>
          <w:sz w:val="21"/>
          <w:szCs w:val="21"/>
        </w:rPr>
        <w:t>（10）设施维护</w:t>
      </w:r>
      <w:bookmarkEnd w:id="17"/>
      <w:bookmarkEnd w:id="18"/>
    </w:p>
    <w:p w14:paraId="358A50B1">
      <w:pPr>
        <w:pStyle w:val="6"/>
        <w:keepNext w:val="0"/>
        <w:keepLines w:val="0"/>
        <w:pageBreakBefore w:val="0"/>
        <w:kinsoku/>
        <w:wordWrap/>
        <w:overflowPunct/>
        <w:topLinePunct w:val="0"/>
        <w:bidi w:val="0"/>
        <w:adjustRightInd w:val="0"/>
        <w:snapToGrid w:val="0"/>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主要规定了常用设备及构（建）筑物的日常维护及大修等管理要求。</w:t>
      </w:r>
    </w:p>
    <w:p w14:paraId="1646649B">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sz w:val="21"/>
          <w:szCs w:val="21"/>
        </w:rPr>
      </w:pPr>
      <w:bookmarkStart w:id="19" w:name="_Toc29816"/>
      <w:bookmarkStart w:id="20" w:name="_Toc30222"/>
      <w:bookmarkStart w:id="21" w:name="_Toc17555"/>
      <w:r>
        <w:rPr>
          <w:rFonts w:hint="eastAsia" w:ascii="宋体" w:hAnsi="宋体" w:eastAsia="宋体" w:cs="宋体"/>
          <w:sz w:val="21"/>
          <w:szCs w:val="21"/>
        </w:rPr>
        <w:t>（11）电气自控系统</w:t>
      </w:r>
      <w:bookmarkEnd w:id="19"/>
      <w:bookmarkEnd w:id="20"/>
      <w:bookmarkEnd w:id="21"/>
    </w:p>
    <w:p w14:paraId="258E3AAB">
      <w:pPr>
        <w:pStyle w:val="6"/>
        <w:keepNext w:val="0"/>
        <w:keepLines w:val="0"/>
        <w:pageBreakBefore w:val="0"/>
        <w:kinsoku/>
        <w:wordWrap/>
        <w:overflowPunct/>
        <w:topLinePunct w:val="0"/>
        <w:bidi w:val="0"/>
        <w:adjustRightInd w:val="0"/>
        <w:snapToGrid w:val="0"/>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主要规定了电气自控及中控设备的安全性、功能性及维护保养等运行管理要求。</w:t>
      </w:r>
    </w:p>
    <w:p w14:paraId="5C6D79FA">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sz w:val="21"/>
          <w:szCs w:val="21"/>
        </w:rPr>
      </w:pPr>
      <w:bookmarkStart w:id="22" w:name="_Toc26341"/>
      <w:bookmarkStart w:id="23" w:name="_Toc10153"/>
      <w:bookmarkStart w:id="24" w:name="_Toc4107"/>
      <w:r>
        <w:rPr>
          <w:rFonts w:hint="eastAsia" w:ascii="宋体" w:hAnsi="宋体" w:eastAsia="宋体" w:cs="宋体"/>
          <w:sz w:val="21"/>
          <w:szCs w:val="21"/>
        </w:rPr>
        <w:t>（12） 水质检测</w:t>
      </w:r>
      <w:bookmarkEnd w:id="22"/>
      <w:bookmarkEnd w:id="23"/>
      <w:bookmarkEnd w:id="24"/>
    </w:p>
    <w:p w14:paraId="6EED4D13">
      <w:pPr>
        <w:pStyle w:val="6"/>
        <w:keepNext w:val="0"/>
        <w:keepLines w:val="0"/>
        <w:pageBreakBefore w:val="0"/>
        <w:kinsoku/>
        <w:wordWrap/>
        <w:overflowPunct/>
        <w:topLinePunct w:val="0"/>
        <w:bidi w:val="0"/>
        <w:adjustRightInd w:val="0"/>
        <w:snapToGrid w:val="0"/>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参考GB 21900 电镀污染物排放标准、HJ 212  污染物在线监控（监测）系统数据传输标准、HJ 493　水质</w:t>
      </w:r>
      <w:r>
        <w:rPr>
          <w:rFonts w:hint="eastAsia" w:hAnsi="宋体" w:cs="宋体"/>
          <w:sz w:val="21"/>
          <w:szCs w:val="21"/>
          <w:lang w:val="en-US" w:eastAsia="zh-CN"/>
        </w:rPr>
        <w:t xml:space="preserve"> </w:t>
      </w:r>
      <w:r>
        <w:rPr>
          <w:rFonts w:hint="eastAsia" w:ascii="宋体" w:hAnsi="宋体" w:eastAsia="宋体" w:cs="宋体"/>
          <w:sz w:val="21"/>
          <w:szCs w:val="21"/>
        </w:rPr>
        <w:t>样品的保存和管理技术规定、HJ 494　水质　采样技术指导、HJ 495　水质　采样方案设计技术规定，主要规定了分析化验实验室人员及制度建设、检测方案、指标、样品保存、数据记录及在线监测系统的安装运行等管理要求。</w:t>
      </w:r>
    </w:p>
    <w:p w14:paraId="20B2C944">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sz w:val="21"/>
          <w:szCs w:val="21"/>
        </w:rPr>
      </w:pPr>
      <w:bookmarkStart w:id="25" w:name="_Toc13467"/>
      <w:bookmarkStart w:id="26" w:name="_Toc20500"/>
      <w:bookmarkStart w:id="27" w:name="_Toc19534"/>
      <w:r>
        <w:rPr>
          <w:rFonts w:hint="eastAsia" w:ascii="宋体" w:hAnsi="宋体" w:eastAsia="宋体" w:cs="宋体"/>
          <w:sz w:val="21"/>
          <w:szCs w:val="21"/>
        </w:rPr>
        <w:t>（13）安全与应急</w:t>
      </w:r>
      <w:bookmarkEnd w:id="25"/>
      <w:bookmarkEnd w:id="26"/>
      <w:bookmarkEnd w:id="27"/>
    </w:p>
    <w:p w14:paraId="05DFF6D2">
      <w:pPr>
        <w:pStyle w:val="6"/>
        <w:keepNext w:val="0"/>
        <w:keepLines w:val="0"/>
        <w:pageBreakBefore w:val="0"/>
        <w:kinsoku/>
        <w:wordWrap/>
        <w:overflowPunct/>
        <w:topLinePunct w:val="0"/>
        <w:bidi w:val="0"/>
        <w:adjustRightInd w:val="0"/>
        <w:snapToGrid w:val="0"/>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主要规定了运营过程中的劳动安全与职业卫生、人员人身安全、应急预案与演练等运营管理要求。</w:t>
      </w:r>
    </w:p>
    <w:p w14:paraId="7C0C83D8">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b/>
          <w:bCs/>
          <w:sz w:val="21"/>
          <w:szCs w:val="21"/>
        </w:rPr>
      </w:pPr>
      <w:bookmarkStart w:id="28" w:name="_Toc15811"/>
      <w:r>
        <w:rPr>
          <w:rFonts w:hint="eastAsia" w:ascii="宋体" w:hAnsi="宋体" w:eastAsia="宋体" w:cs="宋体"/>
          <w:sz w:val="21"/>
          <w:szCs w:val="21"/>
        </w:rPr>
        <w:t>（14） 智慧运维</w:t>
      </w:r>
      <w:bookmarkEnd w:id="28"/>
    </w:p>
    <w:p w14:paraId="072AE018">
      <w:pPr>
        <w:pStyle w:val="6"/>
        <w:keepNext w:val="0"/>
        <w:keepLines w:val="0"/>
        <w:pageBreakBefore w:val="0"/>
        <w:kinsoku/>
        <w:wordWrap/>
        <w:overflowPunct/>
        <w:topLinePunct w:val="0"/>
        <w:bidi w:val="0"/>
        <w:adjustRightInd w:val="0"/>
        <w:snapToGrid w:val="0"/>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主要规定了智慧运营方法等管理要求。</w:t>
      </w:r>
    </w:p>
    <w:p w14:paraId="6CE6D1A7">
      <w:pPr>
        <w:keepNext w:val="0"/>
        <w:keepLines w:val="0"/>
        <w:pageBreakBefore w:val="0"/>
        <w:kinsoku/>
        <w:wordWrap/>
        <w:overflowPunct/>
        <w:topLinePunct w:val="0"/>
        <w:bidi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五、与现行法律法规、强制性标准等上位标准的关系</w:t>
      </w:r>
    </w:p>
    <w:p w14:paraId="79326105">
      <w:pPr>
        <w:pStyle w:val="6"/>
        <w:keepNext w:val="0"/>
        <w:keepLines w:val="0"/>
        <w:pageBreakBefore w:val="0"/>
        <w:kinsoku/>
        <w:wordWrap/>
        <w:overflowPunct/>
        <w:topLinePunct w:val="0"/>
        <w:bidi w:val="0"/>
        <w:adjustRightInd w:val="0"/>
        <w:snapToGrid w:val="0"/>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本规范与《中华人民共和国标准化法》《中华人民共和国安全生产法》《中华人民共和国环境保护法》《中华人民共和国劳动安全法》《中华人民共和国危险化学品安全管理条例》《中华人民共和国易制毒化学品管理条例》以及其他现行法律法规不存在矛盾之处。</w:t>
      </w:r>
    </w:p>
    <w:p w14:paraId="157A1457">
      <w:pPr>
        <w:pStyle w:val="6"/>
        <w:keepNext w:val="0"/>
        <w:keepLines w:val="0"/>
        <w:pageBreakBefore w:val="0"/>
        <w:kinsoku/>
        <w:wordWrap/>
        <w:overflowPunct/>
        <w:topLinePunct w:val="0"/>
        <w:bidi w:val="0"/>
        <w:adjustRightInd w:val="0"/>
        <w:snapToGrid w:val="0"/>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本规范符合现行的技术标准和规范，包括DB 44/1597 《电镀水污染物排放标准》、GB 21900 《电镀污染物排放标准》、HJ 2025 《危险废物收集 贮存 运输技术规范》等。</w:t>
      </w:r>
    </w:p>
    <w:p w14:paraId="4F229774">
      <w:pPr>
        <w:keepNext w:val="0"/>
        <w:keepLines w:val="0"/>
        <w:pageBreakBefore w:val="0"/>
        <w:kinsoku/>
        <w:wordWrap/>
        <w:overflowPunct/>
        <w:topLinePunct w:val="0"/>
        <w:bidi w:val="0"/>
        <w:spacing w:line="360" w:lineRule="auto"/>
        <w:textAlignment w:val="auto"/>
        <w:rPr>
          <w:rFonts w:hint="eastAsia" w:ascii="宋体" w:hAnsi="宋体" w:eastAsia="宋体" w:cs="宋体"/>
          <w:b/>
          <w:bCs/>
          <w:sz w:val="21"/>
          <w:szCs w:val="21"/>
        </w:rPr>
      </w:pPr>
      <w:bookmarkStart w:id="29" w:name="_Toc12461"/>
      <w:bookmarkStart w:id="30" w:name="_Toc19950"/>
      <w:bookmarkStart w:id="31" w:name="_Toc13644"/>
      <w:bookmarkStart w:id="32" w:name="_Toc1740"/>
      <w:r>
        <w:rPr>
          <w:rFonts w:hint="eastAsia" w:ascii="宋体" w:hAnsi="宋体" w:eastAsia="宋体" w:cs="宋体"/>
          <w:b/>
          <w:bCs/>
          <w:sz w:val="21"/>
          <w:szCs w:val="21"/>
        </w:rPr>
        <w:t>六、</w:t>
      </w:r>
      <w:bookmarkEnd w:id="29"/>
      <w:bookmarkEnd w:id="30"/>
      <w:bookmarkEnd w:id="31"/>
      <w:bookmarkEnd w:id="32"/>
      <w:r>
        <w:rPr>
          <w:rFonts w:hint="eastAsia" w:ascii="宋体" w:hAnsi="宋体" w:eastAsia="宋体" w:cs="宋体"/>
          <w:b/>
          <w:bCs/>
          <w:sz w:val="21"/>
          <w:szCs w:val="21"/>
        </w:rPr>
        <w:t>标准的先进性或特色性</w:t>
      </w:r>
    </w:p>
    <w:bookmarkEnd w:id="5"/>
    <w:bookmarkEnd w:id="6"/>
    <w:bookmarkEnd w:id="7"/>
    <w:p w14:paraId="49A5585C">
      <w:pPr>
        <w:pStyle w:val="6"/>
        <w:keepNext w:val="0"/>
        <w:keepLines w:val="0"/>
        <w:pageBreakBefore w:val="0"/>
        <w:kinsoku/>
        <w:wordWrap/>
        <w:overflowPunct/>
        <w:topLinePunct w:val="0"/>
        <w:bidi w:val="0"/>
        <w:adjustRightInd w:val="0"/>
        <w:snapToGrid w:val="0"/>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首先，在国家标准、行业标准制修订方面，目前还没有与电镀园区污染治理设施运营管理技术规范。在地方标准方面，全国范围内也无相关省份开展。本标准投入使用后，经济社会效益十分明显。首先，从经济效益角度来看，实施该标准所取得的效益为安全、经济效益。规范地进行电镀园区污染治理设施运营管理，将极大得降低因管理不规范导致的人身安全事故、环境安全事故、生产安全事故等各类安全风险，并从根本上减少了此类事故造成的财产损失，安全经济效益显著。</w:t>
      </w:r>
    </w:p>
    <w:p w14:paraId="1BA266C6">
      <w:pPr>
        <w:pStyle w:val="6"/>
        <w:keepNext w:val="0"/>
        <w:keepLines w:val="0"/>
        <w:pageBreakBefore w:val="0"/>
        <w:kinsoku/>
        <w:wordWrap/>
        <w:overflowPunct/>
        <w:topLinePunct w:val="0"/>
        <w:bidi w:val="0"/>
        <w:adjustRightInd w:val="0"/>
        <w:snapToGrid w:val="0"/>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其次，我国陆续推出一系列政策鼓励“退城入园”、“进区入园”，基于广东省是制造业大省且电镀行业聚集的基本省情，对电镀行业的管理，特别是电镀园区污染治理设施运营管理提出了更加严格的要求。</w:t>
      </w:r>
    </w:p>
    <w:p w14:paraId="5D63238F">
      <w:pPr>
        <w:pStyle w:val="6"/>
        <w:keepNext w:val="0"/>
        <w:keepLines w:val="0"/>
        <w:pageBreakBefore w:val="0"/>
        <w:kinsoku/>
        <w:wordWrap/>
        <w:overflowPunct/>
        <w:topLinePunct w:val="0"/>
        <w:bidi w:val="0"/>
        <w:adjustRightInd w:val="0"/>
        <w:snapToGrid w:val="0"/>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本标准的制定和实施，将对电镀园区污染治理设施运营管理在我省的普及、推广及保障园区人身安全、环境安全及生产安全发挥重要的推动作用，社会效益显著。</w:t>
      </w:r>
    </w:p>
    <w:p w14:paraId="2E71D8F1">
      <w:pPr>
        <w:keepNext w:val="0"/>
        <w:keepLines w:val="0"/>
        <w:pageBreakBefore w:val="0"/>
        <w:kinsoku/>
        <w:wordWrap/>
        <w:overflowPunct/>
        <w:topLinePunct w:val="0"/>
        <w:bidi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七、标准调研、讨论、征求意见情况、重大分歧意见的处理经过和依据</w:t>
      </w:r>
    </w:p>
    <w:p w14:paraId="5B9CD8EE">
      <w:pPr>
        <w:keepNext w:val="0"/>
        <w:keepLines w:val="0"/>
        <w:pageBreakBefore w:val="0"/>
        <w:kinsoku/>
        <w:wordWrap/>
        <w:overflowPunct/>
        <w:topLinePunct w:val="0"/>
        <w:bidi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7.1标准调研、研讨、征求意见情况</w:t>
      </w:r>
    </w:p>
    <w:p w14:paraId="56BEA141">
      <w:pPr>
        <w:keepNext w:val="0"/>
        <w:keepLines w:val="0"/>
        <w:pageBreakBefore w:val="0"/>
        <w:kinsoku/>
        <w:wordWrap/>
        <w:overflowPunct/>
        <w:topLinePunct w:val="0"/>
        <w:bidi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（1）调研、草稿阶段</w:t>
      </w:r>
    </w:p>
    <w:p w14:paraId="609C723C">
      <w:pPr>
        <w:pStyle w:val="6"/>
        <w:keepNext w:val="0"/>
        <w:keepLines w:val="0"/>
        <w:pageBreakBefore w:val="0"/>
        <w:kinsoku/>
        <w:wordWrap/>
        <w:overflowPunct/>
        <w:topLinePunct w:val="0"/>
        <w:bidi w:val="0"/>
        <w:adjustRightInd w:val="0"/>
        <w:snapToGrid w:val="0"/>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2023年4月，</w:t>
      </w:r>
      <w:r>
        <w:rPr>
          <w:rFonts w:hint="eastAsia" w:hAnsi="宋体" w:cs="宋体"/>
          <w:sz w:val="21"/>
          <w:szCs w:val="21"/>
          <w:lang w:val="en-US" w:eastAsia="zh-CN"/>
        </w:rPr>
        <w:t>在有关主管部门的支持下，</w:t>
      </w:r>
      <w:r>
        <w:rPr>
          <w:rFonts w:hint="eastAsia" w:ascii="宋体" w:hAnsi="宋体" w:eastAsia="宋体" w:cs="宋体"/>
          <w:sz w:val="21"/>
          <w:szCs w:val="21"/>
        </w:rPr>
        <w:t>省环保产业协会、广东新大禹环境科技股份有限公司会同有关电镀园区污染设施运营管理环保骨干企业，成立《电镀园区污染治理设施运营管理技术规范》标准编制组，初步确定标准制订的工作方法与技术路线。</w:t>
      </w:r>
    </w:p>
    <w:p w14:paraId="6CD75C15">
      <w:pPr>
        <w:pStyle w:val="6"/>
        <w:keepNext w:val="0"/>
        <w:keepLines w:val="0"/>
        <w:pageBreakBefore w:val="0"/>
        <w:kinsoku/>
        <w:wordWrap/>
        <w:overflowPunct/>
        <w:topLinePunct w:val="0"/>
        <w:bidi w:val="0"/>
        <w:adjustRightInd w:val="0"/>
        <w:snapToGrid w:val="0"/>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2023年5月-6月，标准编制组开展了大量的文献调研工作。包括：国内外相关标准和文献资料的调研、检索和收集，以及电镀园区水污染治理设施运营情况调研。在政策法规方面，编制组对国家及我省关于电镀园区环境管理的政策开展了深入的研究，分析了当前广东电镀行业绿色发展的迫切需要及我省生态环境管理的迫切需求；收集国内及省内相关污染物治理技术、装备及管理规范情况，对广东省电镀园区的处理工艺、工程运营水平以及综合运行管理成本等情况进行初步调查。</w:t>
      </w:r>
    </w:p>
    <w:p w14:paraId="0F65C680">
      <w:pPr>
        <w:keepNext w:val="0"/>
        <w:keepLines w:val="0"/>
        <w:pageBreakBefore w:val="0"/>
        <w:kinsoku/>
        <w:wordWrap/>
        <w:overflowPunct/>
        <w:topLinePunct w:val="0"/>
        <w:bidi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（2）申报立项阶段</w:t>
      </w:r>
    </w:p>
    <w:p w14:paraId="1CF48E3D">
      <w:pPr>
        <w:pStyle w:val="6"/>
        <w:keepNext w:val="0"/>
        <w:keepLines w:val="0"/>
        <w:pageBreakBefore w:val="0"/>
        <w:kinsoku/>
        <w:wordWrap/>
        <w:overflowPunct/>
        <w:topLinePunct w:val="0"/>
        <w:bidi w:val="0"/>
        <w:adjustRightInd w:val="0"/>
        <w:snapToGrid w:val="0"/>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2023年7月-12月，省环保产业协会、广东新大禹环境会同有关单位完成了《电镀园区污染治理设施运营管理技术规范》地方标准立项申报，项目获批立项。</w:t>
      </w:r>
    </w:p>
    <w:p w14:paraId="1B87A971">
      <w:pPr>
        <w:keepNext w:val="0"/>
        <w:keepLines w:val="0"/>
        <w:pageBreakBefore w:val="0"/>
        <w:kinsoku/>
        <w:wordWrap/>
        <w:overflowPunct/>
        <w:topLinePunct w:val="0"/>
        <w:bidi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（3）草案稿研制阶段</w:t>
      </w:r>
    </w:p>
    <w:p w14:paraId="6D017055">
      <w:pPr>
        <w:pStyle w:val="6"/>
        <w:keepNext w:val="0"/>
        <w:keepLines w:val="0"/>
        <w:pageBreakBefore w:val="0"/>
        <w:kinsoku/>
        <w:wordWrap/>
        <w:overflowPunct/>
        <w:topLinePunct w:val="0"/>
        <w:bidi w:val="0"/>
        <w:adjustRightInd w:val="0"/>
        <w:snapToGrid w:val="0"/>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2024年5月，标准编制组在广州组织召开《电镀园区污染治理设施运营管理技术规范》地方标准启动会，进一步明确标准制修订的工作内容和时间节点，讨论了《技术规范》的定位、适用范围、编制思路等问题，制订了工作计划，明确了技术路线，同时围绕如何科学高效的完成项目进行深入交流。</w:t>
      </w:r>
    </w:p>
    <w:p w14:paraId="6B3F533B">
      <w:pPr>
        <w:pStyle w:val="6"/>
        <w:keepNext w:val="0"/>
        <w:keepLines w:val="0"/>
        <w:pageBreakBefore w:val="0"/>
        <w:kinsoku/>
        <w:wordWrap/>
        <w:overflowPunct/>
        <w:topLinePunct w:val="0"/>
        <w:bidi w:val="0"/>
        <w:adjustRightInd w:val="0"/>
        <w:snapToGrid w:val="0"/>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2024年6月-10月，标准编制组完成《电镀园区污染治理设施运营管理技术规范》（初稿）及编制说明，并发送至相关单位专业技术人员审阅，在编制组内部进行交流和讨论。</w:t>
      </w:r>
    </w:p>
    <w:p w14:paraId="3E2DF925">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2024年12月31日，为进一步掌握我省电镀园区污染治理设施运营管理技术水平情况，同时有针对性的完善标准文本，编制组组织至惠州龙溪电镀园区调研并组织标准制订座谈会，邀请相关主管部门负责人和行业专家参加。</w:t>
      </w:r>
    </w:p>
    <w:p w14:paraId="2FBED662">
      <w:pPr>
        <w:keepNext w:val="0"/>
        <w:keepLines w:val="0"/>
        <w:pageBreakBefore w:val="0"/>
        <w:kinsoku/>
        <w:wordWrap/>
        <w:overflowPunct/>
        <w:topLinePunct w:val="0"/>
        <w:bidi w:val="0"/>
        <w:spacing w:line="360" w:lineRule="auto"/>
        <w:ind w:firstLine="420" w:firstLineChars="200"/>
        <w:textAlignment w:val="auto"/>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eastAsia="宋体"/>
          <w:color w:val="000000" w:themeColor="text1"/>
          <w:szCs w:val="21"/>
          <w:lang w:val="en-US" w:eastAsia="zh-CN"/>
          <w14:textFill>
            <w14:solidFill>
              <w14:schemeClr w14:val="tx1"/>
            </w14:solidFill>
          </w14:textFill>
        </w:rPr>
        <w:t>2025年3月6日，为进一步完善标准文本，</w:t>
      </w:r>
      <w:bookmarkStart w:id="33" w:name="_GoBack"/>
      <w:bookmarkEnd w:id="33"/>
      <w:r>
        <w:rPr>
          <w:rFonts w:hint="eastAsia" w:ascii="宋体" w:hAnsi="宋体" w:eastAsia="宋体"/>
          <w:color w:val="000000" w:themeColor="text1"/>
          <w:szCs w:val="21"/>
          <w:lang w:val="en-US" w:eastAsia="zh-CN"/>
          <w14:textFill>
            <w14:solidFill>
              <w14:schemeClr w14:val="tx1"/>
            </w14:solidFill>
          </w14:textFill>
        </w:rPr>
        <w:t>编制组组织内部讨论会，对照标准文本进行逐条讨论。</w:t>
      </w:r>
    </w:p>
    <w:p w14:paraId="30E27568">
      <w:pPr>
        <w:keepNext w:val="0"/>
        <w:keepLines w:val="0"/>
        <w:pageBreakBefore w:val="0"/>
        <w:kinsoku/>
        <w:wordWrap/>
        <w:overflowPunct/>
        <w:topLinePunct w:val="0"/>
        <w:bidi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（4）征求意见稿阶段</w:t>
      </w:r>
    </w:p>
    <w:p w14:paraId="7E450CAC">
      <w:pPr>
        <w:pStyle w:val="6"/>
        <w:keepNext w:val="0"/>
        <w:keepLines w:val="0"/>
        <w:pageBreakBefore w:val="0"/>
        <w:kinsoku/>
        <w:wordWrap/>
        <w:overflowPunct/>
        <w:topLinePunct w:val="0"/>
        <w:bidi w:val="0"/>
        <w:adjustRightInd w:val="0"/>
        <w:snapToGrid w:val="0"/>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暂无。</w:t>
      </w:r>
    </w:p>
    <w:p w14:paraId="67179868">
      <w:pPr>
        <w:keepNext w:val="0"/>
        <w:keepLines w:val="0"/>
        <w:pageBreakBefore w:val="0"/>
        <w:kinsoku/>
        <w:wordWrap/>
        <w:overflowPunct/>
        <w:topLinePunct w:val="0"/>
        <w:bidi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（5）送审稿阶段</w:t>
      </w:r>
    </w:p>
    <w:p w14:paraId="6299F594">
      <w:pPr>
        <w:pStyle w:val="6"/>
        <w:keepNext w:val="0"/>
        <w:keepLines w:val="0"/>
        <w:pageBreakBefore w:val="0"/>
        <w:kinsoku/>
        <w:wordWrap/>
        <w:overflowPunct/>
        <w:topLinePunct w:val="0"/>
        <w:bidi w:val="0"/>
        <w:adjustRightInd w:val="0"/>
        <w:snapToGrid w:val="0"/>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暂无。</w:t>
      </w:r>
    </w:p>
    <w:p w14:paraId="51AC21FA">
      <w:pPr>
        <w:keepNext w:val="0"/>
        <w:keepLines w:val="0"/>
        <w:pageBreakBefore w:val="0"/>
        <w:kinsoku/>
        <w:wordWrap/>
        <w:overflowPunct/>
        <w:topLinePunct w:val="0"/>
        <w:bidi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（6）报批稿阶段</w:t>
      </w:r>
    </w:p>
    <w:p w14:paraId="34AC0137">
      <w:pPr>
        <w:pStyle w:val="6"/>
        <w:keepNext w:val="0"/>
        <w:keepLines w:val="0"/>
        <w:pageBreakBefore w:val="0"/>
        <w:kinsoku/>
        <w:wordWrap/>
        <w:overflowPunct/>
        <w:topLinePunct w:val="0"/>
        <w:bidi w:val="0"/>
        <w:adjustRightInd w:val="0"/>
        <w:snapToGrid w:val="0"/>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暂无。</w:t>
      </w:r>
    </w:p>
    <w:p w14:paraId="03BC249A">
      <w:pPr>
        <w:keepNext w:val="0"/>
        <w:keepLines w:val="0"/>
        <w:pageBreakBefore w:val="0"/>
        <w:kinsoku/>
        <w:wordWrap/>
        <w:overflowPunct/>
        <w:topLinePunct w:val="0"/>
        <w:bidi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7.2重大分歧意见的处理经过和依据</w:t>
      </w:r>
    </w:p>
    <w:p w14:paraId="11D9F368">
      <w:pPr>
        <w:pStyle w:val="6"/>
        <w:keepNext w:val="0"/>
        <w:keepLines w:val="0"/>
        <w:pageBreakBefore w:val="0"/>
        <w:kinsoku/>
        <w:wordWrap/>
        <w:overflowPunct/>
        <w:topLinePunct w:val="0"/>
        <w:bidi w:val="0"/>
        <w:adjustRightInd w:val="0"/>
        <w:snapToGrid w:val="0"/>
        <w:spacing w:line="360"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暂无。</w:t>
      </w:r>
    </w:p>
    <w:p w14:paraId="3EB86D0A">
      <w:pPr>
        <w:keepNext w:val="0"/>
        <w:keepLines w:val="0"/>
        <w:pageBreakBefore w:val="0"/>
        <w:kinsoku/>
        <w:wordWrap/>
        <w:overflowPunct/>
        <w:topLinePunct w:val="0"/>
        <w:bidi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八、技术指标设置的科学性和可行性技术指标设置的科学性和可行性量化指标的依据，以及是否合规引用或采用国际国外标准</w:t>
      </w:r>
    </w:p>
    <w:p w14:paraId="2F87A4FE">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标准旨在规范电镀园区污染治理设施运营管理的总体要求、废水收集、废水处理、污泥处理、废气处理、噪声处理、设施维护、自控系统、水质检测、安全与应急、智慧运维等管理要求。编写过程中充分参考了国内相关的最新技术、标准和参考文献，结果现场运营实际情况，综合考虑监管机构需求，保障标准的先进性和适用性。</w:t>
      </w:r>
    </w:p>
    <w:p w14:paraId="66ED7DA5">
      <w:pPr>
        <w:keepNext w:val="0"/>
        <w:keepLines w:val="0"/>
        <w:pageBreakBefore w:val="0"/>
        <w:kinsoku/>
        <w:wordWrap/>
        <w:overflowPunct/>
        <w:topLinePunct w:val="0"/>
        <w:bidi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九、与国际标准和国外先进标准或国内同类标准水平的比较情况</w:t>
      </w:r>
    </w:p>
    <w:p w14:paraId="71A38EB9">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标准规定了电镀园区污染治理设施运营管理的总体要求、废水收集、废水处理、污泥处理、废气处理、噪声处理、设施维护、自控系统、水质检测、安全与应急、智慧运维等内容。现阶段还没有类似的国际标准、国外先进标准，也没有国家、行业标准，本标准整体上处于国际领先水平。</w:t>
      </w:r>
    </w:p>
    <w:p w14:paraId="367F0EBF">
      <w:pPr>
        <w:keepNext w:val="0"/>
        <w:keepLines w:val="0"/>
        <w:pageBreakBefore w:val="0"/>
        <w:kinsoku/>
        <w:wordWrap/>
        <w:overflowPunct/>
        <w:topLinePunct w:val="0"/>
        <w:bidi w:val="0"/>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十、涉及专利的有关说明</w:t>
      </w:r>
    </w:p>
    <w:p w14:paraId="345771E2">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本标准不涉及专利。</w:t>
      </w:r>
    </w:p>
    <w:p w14:paraId="72E195BB">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本标准在起草过程中无重大分歧。</w:t>
      </w:r>
    </w:p>
    <w:p w14:paraId="45AFF5B0">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十一、现报批阶段应补充专家技术审查会议情况</w:t>
      </w:r>
    </w:p>
    <w:p w14:paraId="3FAD6B31">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暂无。</w:t>
      </w:r>
    </w:p>
    <w:p w14:paraId="6E3B48C9">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十二、贯彻地方标准要求</w:t>
      </w:r>
    </w:p>
    <w:p w14:paraId="068B0A61">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标准实施后，由广东省生态环境厅推荐给广东省相关企业、广东省内相关协会等使用。本标准实施后，标准起草单位同标准化技术机构对本标准进行宣贯；利用各种宣传媒体，使相关企业尽快熟悉、了解、掌握和应用，促进我省电镀行业高质量发展。</w:t>
      </w:r>
    </w:p>
    <w:p w14:paraId="118E9D10">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p>
    <w:p w14:paraId="62322DCE">
      <w:pPr>
        <w:keepNext w:val="0"/>
        <w:keepLines w:val="0"/>
        <w:pageBreakBefore w:val="0"/>
        <w:kinsoku/>
        <w:wordWrap/>
        <w:overflowPunct/>
        <w:topLinePunct w:val="0"/>
        <w:bidi w:val="0"/>
        <w:spacing w:line="360" w:lineRule="auto"/>
        <w:textAlignment w:val="auto"/>
        <w:rPr>
          <w:rFonts w:hint="eastAsia" w:ascii="宋体" w:hAnsi="宋体" w:eastAsia="宋体" w:cs="宋体"/>
          <w:sz w:val="21"/>
          <w:szCs w:val="21"/>
        </w:rPr>
      </w:pPr>
    </w:p>
    <w:p w14:paraId="6E536507">
      <w:pPr>
        <w:pStyle w:val="6"/>
        <w:keepNext w:val="0"/>
        <w:keepLines w:val="0"/>
        <w:pageBreakBefore w:val="0"/>
        <w:kinsoku/>
        <w:wordWrap/>
        <w:overflowPunct/>
        <w:topLinePunct w:val="0"/>
        <w:bidi w:val="0"/>
        <w:adjustRightInd w:val="0"/>
        <w:snapToGrid w:val="0"/>
        <w:spacing w:line="360" w:lineRule="auto"/>
        <w:ind w:firstLine="0" w:firstLineChars="0"/>
        <w:textAlignment w:val="auto"/>
        <w:rPr>
          <w:rFonts w:hint="eastAsia"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pStyle w:val="14"/>
      <w:suff w:val="nothing"/>
      <w:lvlText w:val="%1"/>
      <w:lvlJc w:val="left"/>
      <w:pPr>
        <w:ind w:left="0" w:firstLine="0"/>
      </w:pPr>
      <w:rPr>
        <w:rFonts w:hint="eastAsia"/>
      </w:rPr>
    </w:lvl>
    <w:lvl w:ilvl="1" w:tentative="0">
      <w:start w:val="1"/>
      <w:numFmt w:val="decimal"/>
      <w:pStyle w:val="12"/>
      <w:suff w:val="nothing"/>
      <w:lvlText w:val="%1%2　"/>
      <w:lvlJc w:val="left"/>
      <w:pPr>
        <w:ind w:left="0" w:firstLine="0"/>
      </w:pPr>
      <w:rPr>
        <w:rFonts w:hint="eastAsia" w:ascii="黑体" w:eastAsia="黑体"/>
        <w:b w:val="0"/>
        <w:i w:val="0"/>
        <w:sz w:val="21"/>
      </w:rPr>
    </w:lvl>
    <w:lvl w:ilvl="2" w:tentative="0">
      <w:start w:val="1"/>
      <w:numFmt w:val="decimal"/>
      <w:pStyle w:val="13"/>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8"/>
      <w:suff w:val="nothing"/>
      <w:lvlText w:val="%1%2.%3.%4　"/>
      <w:lvlJc w:val="left"/>
      <w:pPr>
        <w:ind w:left="425" w:firstLine="0"/>
      </w:pPr>
      <w:rPr>
        <w:rFonts w:hint="eastAsia" w:ascii="黑体" w:eastAsia="黑体"/>
        <w:b w:val="0"/>
        <w:i w:val="0"/>
        <w:sz w:val="21"/>
      </w:rPr>
    </w:lvl>
    <w:lvl w:ilvl="4" w:tentative="0">
      <w:start w:val="1"/>
      <w:numFmt w:val="decimal"/>
      <w:pStyle w:val="9"/>
      <w:suff w:val="nothing"/>
      <w:lvlText w:val="%1%2.%3.%4.%5　"/>
      <w:lvlJc w:val="left"/>
      <w:pPr>
        <w:ind w:left="0" w:firstLine="0"/>
      </w:pPr>
      <w:rPr>
        <w:rFonts w:hint="eastAsia" w:ascii="黑体" w:eastAsia="黑体"/>
        <w:b w:val="0"/>
        <w:i w:val="0"/>
        <w:sz w:val="21"/>
      </w:rPr>
    </w:lvl>
    <w:lvl w:ilvl="5" w:tentative="0">
      <w:start w:val="1"/>
      <w:numFmt w:val="decimal"/>
      <w:pStyle w:val="10"/>
      <w:suff w:val="nothing"/>
      <w:lvlText w:val="%1%2.%3.%4.%5.%6　"/>
      <w:lvlJc w:val="left"/>
      <w:pPr>
        <w:ind w:left="0" w:firstLine="0"/>
      </w:pPr>
      <w:rPr>
        <w:rFonts w:hint="eastAsia" w:ascii="黑体" w:eastAsia="黑体"/>
        <w:b w:val="0"/>
        <w:i w:val="0"/>
        <w:sz w:val="21"/>
      </w:rPr>
    </w:lvl>
    <w:lvl w:ilvl="6" w:tentative="0">
      <w:start w:val="1"/>
      <w:numFmt w:val="decimal"/>
      <w:pStyle w:val="11"/>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AB1"/>
    <w:rsid w:val="00027B44"/>
    <w:rsid w:val="00075BE0"/>
    <w:rsid w:val="002A7F50"/>
    <w:rsid w:val="003E7117"/>
    <w:rsid w:val="004F694F"/>
    <w:rsid w:val="0050126B"/>
    <w:rsid w:val="007066B4"/>
    <w:rsid w:val="00730743"/>
    <w:rsid w:val="008D1678"/>
    <w:rsid w:val="008E43E6"/>
    <w:rsid w:val="009634CB"/>
    <w:rsid w:val="00997834"/>
    <w:rsid w:val="009F23AF"/>
    <w:rsid w:val="00A42CD5"/>
    <w:rsid w:val="00AB4AB1"/>
    <w:rsid w:val="00BA7B50"/>
    <w:rsid w:val="00E619D3"/>
    <w:rsid w:val="19986ABA"/>
    <w:rsid w:val="25D33A8A"/>
    <w:rsid w:val="291335A0"/>
    <w:rsid w:val="35736AF3"/>
    <w:rsid w:val="3DB47D2B"/>
    <w:rsid w:val="656E3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autoRedefine/>
    <w:unhideWhenUsed/>
    <w:qFormat/>
    <w:uiPriority w:val="39"/>
    <w:pPr>
      <w:widowControl/>
      <w:spacing w:before="120" w:beforeLines="50" w:after="120" w:afterLines="50"/>
      <w:jc w:val="center"/>
    </w:pPr>
    <w:rPr>
      <w:rFonts w:ascii="宋体" w:hAnsi="黑体" w:eastAsia="黑体" w:cs="Times New Roman"/>
      <w:szCs w:val="21"/>
      <w14:ligatures w14:val="none"/>
    </w:rPr>
  </w:style>
  <w:style w:type="paragraph" w:styleId="5">
    <w:name w:val="List Paragraph"/>
    <w:basedOn w:val="1"/>
    <w:autoRedefine/>
    <w:qFormat/>
    <w:uiPriority w:val="34"/>
    <w:pPr>
      <w:ind w:firstLine="420" w:firstLineChars="200"/>
      <w:jc w:val="left"/>
    </w:pPr>
    <w:rPr>
      <w:sz w:val="36"/>
      <w:szCs w:val="40"/>
      <w14:ligatures w14:val="none"/>
    </w:rPr>
  </w:style>
  <w:style w:type="paragraph" w:customStyle="1" w:styleId="6">
    <w:name w:val="标准文件_段"/>
    <w:autoRedefine/>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14:ligatures w14:val="none"/>
    </w:rPr>
  </w:style>
  <w:style w:type="paragraph" w:customStyle="1" w:styleId="7">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14:ligatures w14:val="none"/>
    </w:rPr>
  </w:style>
  <w:style w:type="paragraph" w:customStyle="1" w:styleId="8">
    <w:name w:val="标准文件_二级条标题"/>
    <w:next w:val="6"/>
    <w:autoRedefine/>
    <w:qFormat/>
    <w:uiPriority w:val="0"/>
    <w:pPr>
      <w:widowControl w:val="0"/>
      <w:numPr>
        <w:ilvl w:val="3"/>
        <w:numId w:val="1"/>
      </w:numPr>
      <w:spacing w:before="120" w:beforeLines="50" w:after="120" w:afterLines="50"/>
      <w:ind w:left="0"/>
      <w:jc w:val="both"/>
      <w:outlineLvl w:val="2"/>
    </w:pPr>
    <w:rPr>
      <w:rFonts w:ascii="Times New Roman" w:hAnsi="Times New Roman" w:eastAsia="黑体" w:cs="Times New Roman"/>
      <w:kern w:val="0"/>
      <w:sz w:val="21"/>
      <w:szCs w:val="20"/>
      <w:lang w:val="en-US" w:eastAsia="zh-CN" w:bidi="ar-SA"/>
      <w14:ligatures w14:val="none"/>
    </w:rPr>
  </w:style>
  <w:style w:type="paragraph" w:customStyle="1" w:styleId="9">
    <w:name w:val="标准文件_三级条标题"/>
    <w:basedOn w:val="8"/>
    <w:next w:val="6"/>
    <w:autoRedefine/>
    <w:qFormat/>
    <w:uiPriority w:val="0"/>
    <w:pPr>
      <w:widowControl/>
      <w:numPr>
        <w:ilvl w:val="4"/>
      </w:numPr>
      <w:outlineLvl w:val="3"/>
    </w:pPr>
  </w:style>
  <w:style w:type="paragraph" w:customStyle="1" w:styleId="10">
    <w:name w:val="标准文件_四级条标题"/>
    <w:next w:val="6"/>
    <w:autoRedefine/>
    <w:qFormat/>
    <w:uiPriority w:val="0"/>
    <w:pPr>
      <w:widowControl w:val="0"/>
      <w:numPr>
        <w:ilvl w:val="5"/>
        <w:numId w:val="1"/>
      </w:numPr>
      <w:spacing w:before="50" w:beforeLines="50" w:after="50" w:afterLines="50"/>
      <w:jc w:val="both"/>
      <w:outlineLvl w:val="4"/>
    </w:pPr>
    <w:rPr>
      <w:rFonts w:ascii="黑体" w:hAnsi="Times New Roman" w:eastAsia="黑体" w:cs="Times New Roman"/>
      <w:kern w:val="0"/>
      <w:sz w:val="21"/>
      <w:szCs w:val="20"/>
      <w:lang w:val="en-US" w:eastAsia="zh-CN" w:bidi="ar-SA"/>
      <w14:ligatures w14:val="none"/>
    </w:rPr>
  </w:style>
  <w:style w:type="paragraph" w:customStyle="1" w:styleId="11">
    <w:name w:val="标准文件_五级条标题"/>
    <w:next w:val="6"/>
    <w:autoRedefine/>
    <w:qFormat/>
    <w:uiPriority w:val="0"/>
    <w:pPr>
      <w:widowControl w:val="0"/>
      <w:numPr>
        <w:ilvl w:val="6"/>
        <w:numId w:val="1"/>
      </w:numPr>
      <w:spacing w:before="50" w:beforeLines="50" w:after="50" w:afterLines="50"/>
      <w:jc w:val="both"/>
      <w:outlineLvl w:val="5"/>
    </w:pPr>
    <w:rPr>
      <w:rFonts w:ascii="黑体" w:hAnsi="Times New Roman" w:eastAsia="黑体" w:cs="Times New Roman"/>
      <w:kern w:val="0"/>
      <w:sz w:val="21"/>
      <w:szCs w:val="20"/>
      <w:lang w:val="en-US" w:eastAsia="zh-CN" w:bidi="ar-SA"/>
      <w14:ligatures w14:val="none"/>
    </w:rPr>
  </w:style>
  <w:style w:type="paragraph" w:customStyle="1" w:styleId="12">
    <w:name w:val="标准文件_章标题"/>
    <w:next w:val="6"/>
    <w:autoRedefine/>
    <w:qFormat/>
    <w:uiPriority w:val="0"/>
    <w:pPr>
      <w:numPr>
        <w:ilvl w:val="1"/>
        <w:numId w:val="1"/>
      </w:numPr>
      <w:spacing w:before="100" w:beforeLines="100" w:after="100" w:afterLines="100"/>
      <w:jc w:val="both"/>
      <w:outlineLvl w:val="0"/>
    </w:pPr>
    <w:rPr>
      <w:rFonts w:ascii="黑体" w:hAnsi="Times New Roman" w:eastAsia="黑体" w:cs="Times New Roman"/>
      <w:kern w:val="0"/>
      <w:sz w:val="21"/>
      <w:szCs w:val="20"/>
      <w:lang w:val="en-US" w:eastAsia="zh-CN" w:bidi="ar-SA"/>
      <w14:ligatures w14:val="none"/>
    </w:rPr>
  </w:style>
  <w:style w:type="paragraph" w:customStyle="1" w:styleId="13">
    <w:name w:val="标准文件_一级条标题"/>
    <w:basedOn w:val="12"/>
    <w:next w:val="6"/>
    <w:autoRedefine/>
    <w:qFormat/>
    <w:uiPriority w:val="0"/>
    <w:pPr>
      <w:numPr>
        <w:ilvl w:val="2"/>
      </w:numPr>
      <w:spacing w:before="50" w:beforeLines="50" w:after="50" w:afterLines="50"/>
      <w:outlineLvl w:val="1"/>
    </w:pPr>
  </w:style>
  <w:style w:type="paragraph" w:customStyle="1" w:styleId="14">
    <w:name w:val="前言标题"/>
    <w:next w:val="1"/>
    <w:autoRedefine/>
    <w:qFormat/>
    <w:uiPriority w:val="0"/>
    <w:pPr>
      <w:numPr>
        <w:ilvl w:val="0"/>
        <w:numId w:val="1"/>
      </w:numPr>
      <w:shd w:val="clear" w:color="FFFFFF" w:fill="FFFFFF"/>
      <w:spacing w:before="540" w:after="600"/>
      <w:jc w:val="center"/>
      <w:outlineLvl w:val="0"/>
    </w:pPr>
    <w:rPr>
      <w:rFonts w:ascii="黑体" w:hAnsi="Times New Roman" w:eastAsia="黑体" w:cs="Times New Roman"/>
      <w:kern w:val="0"/>
      <w:sz w:val="32"/>
      <w:szCs w:val="20"/>
      <w:lang w:val="en-US" w:eastAsia="zh-CN" w:bidi="ar-SA"/>
      <w14:ligatures w14:val="none"/>
    </w:rPr>
  </w:style>
  <w:style w:type="paragraph" w:customStyle="1" w:styleId="15">
    <w:name w:val="标准文件_一级无标题"/>
    <w:basedOn w:val="13"/>
    <w:autoRedefine/>
    <w:qFormat/>
    <w:uiPriority w:val="0"/>
    <w:pPr>
      <w:tabs>
        <w:tab w:val="left" w:pos="6096"/>
      </w:tabs>
      <w:spacing w:before="0" w:beforeLines="0" w:after="0" w:afterLines="0" w:line="300" w:lineRule="auto"/>
      <w:outlineLvl w:val="9"/>
    </w:pPr>
    <w:rPr>
      <w:rFonts w:ascii="Times New Roman" w:eastAsia="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8754</Words>
  <Characters>9253</Characters>
  <Lines>69</Lines>
  <Paragraphs>19</Paragraphs>
  <TotalTime>82</TotalTime>
  <ScaleCrop>false</ScaleCrop>
  <LinksUpToDate>false</LinksUpToDate>
  <CharactersWithSpaces>9373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2024-12-26T01:54:00Z</dcterms:created>
  <dc:creator>happycmx@126.com</dc:creator>
  <cp:lastModifiedBy>mouse</cp:lastModifiedBy>
  <dcterms:modified xsi:type="dcterms:W3CDTF">2025-03-18T02:40:02Z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eyJoZGlkIjoiZjE5OTQ4ZGZmNDFkNzc3ODU1YmUwNjQ2OTBkMmM5YjYiLCJ1c2VySWQiOiIyMjc4MjQ0NTUifQ==</vt:lpwstr>
  </property>
  <property fmtid="{D5CDD505-2E9C-101B-9397-08002B2CF9AE}" pid="3" name="KSOProductBuildVer">
    <vt:lpwstr>2052-12.1.0.20305</vt:lpwstr>
  </property>
  <property fmtid="{D5CDD505-2E9C-101B-9397-08002B2CF9AE}" pid="4" name="ICV">
    <vt:lpwstr>418A17E229D34585A0C2B9822C9CEB01_12</vt:lpwstr>
  </property>
</Properties>
</file>